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7C7DA7" w:rsidP="007C7DA7">
      <w:pPr>
        <w:jc w:val="center"/>
        <w:rPr>
          <w:noProof/>
          <w:position w:val="2"/>
          <w:sz w:val="28"/>
          <w:szCs w:val="28"/>
        </w:rPr>
      </w:pPr>
      <w:r>
        <w:rPr>
          <w:noProof/>
          <w:position w:val="2"/>
          <w:sz w:val="28"/>
          <w:szCs w:val="28"/>
        </w:rPr>
        <w:t>РОССИЙСКАЯ ФЕДЕРАЦИЯ</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Pr="006B1377" w:rsidRDefault="007C7DA7" w:rsidP="007C7DA7">
      <w:pPr>
        <w:jc w:val="center"/>
        <w:rPr>
          <w:sz w:val="28"/>
          <w:szCs w:val="28"/>
        </w:rPr>
      </w:pPr>
      <w:r w:rsidRPr="004C2152">
        <w:rPr>
          <w:sz w:val="28"/>
          <w:szCs w:val="28"/>
        </w:rPr>
        <w:t xml:space="preserve">от   </w:t>
      </w:r>
      <w:r w:rsidR="006B1377">
        <w:rPr>
          <w:sz w:val="28"/>
          <w:szCs w:val="28"/>
        </w:rPr>
        <w:t>18</w:t>
      </w:r>
      <w:r w:rsidRPr="004C2152">
        <w:rPr>
          <w:sz w:val="28"/>
          <w:szCs w:val="28"/>
        </w:rPr>
        <w:t xml:space="preserve">  марта    2019г.                                                </w:t>
      </w:r>
      <w:proofErr w:type="spellStart"/>
      <w:r w:rsidRPr="004C2152">
        <w:rPr>
          <w:sz w:val="28"/>
          <w:szCs w:val="28"/>
        </w:rPr>
        <w:t>сл</w:t>
      </w:r>
      <w:proofErr w:type="gramStart"/>
      <w:r w:rsidRPr="004C2152">
        <w:rPr>
          <w:sz w:val="28"/>
          <w:szCs w:val="28"/>
        </w:rPr>
        <w:t>.К</w:t>
      </w:r>
      <w:proofErr w:type="gramEnd"/>
      <w:r w:rsidRPr="004C2152">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47</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9B59BC">
              <w:rPr>
                <w:color w:val="000000"/>
                <w:sz w:val="28"/>
                <w:szCs w:val="28"/>
              </w:rPr>
              <w:t>423,9</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423,9</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Pr>
                <w:color w:val="000000"/>
                <w:sz w:val="28"/>
                <w:szCs w:val="28"/>
              </w:rPr>
              <w:t xml:space="preserve">0,0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proofErr w:type="spellStart"/>
      <w:r>
        <w:rPr>
          <w:rFonts w:ascii="Times New Roman" w:hAnsi="Times New Roman"/>
          <w:sz w:val="28"/>
          <w:szCs w:val="28"/>
        </w:rPr>
        <w:t>Ю.И.Бородаенко</w:t>
      </w:r>
      <w:proofErr w:type="spellEnd"/>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6B1377">
        <w:rPr>
          <w:bCs/>
          <w:sz w:val="24"/>
          <w:szCs w:val="24"/>
        </w:rPr>
        <w:t>18</w:t>
      </w:r>
      <w:r w:rsidR="00555BB1">
        <w:rPr>
          <w:bCs/>
          <w:sz w:val="24"/>
          <w:szCs w:val="24"/>
        </w:rPr>
        <w:t>.</w:t>
      </w:r>
      <w:r w:rsidR="006B1377">
        <w:rPr>
          <w:bCs/>
          <w:sz w:val="24"/>
          <w:szCs w:val="24"/>
        </w:rPr>
        <w:t>03</w:t>
      </w:r>
      <w:r w:rsidR="00555BB1">
        <w:rPr>
          <w:bCs/>
          <w:sz w:val="24"/>
          <w:szCs w:val="24"/>
        </w:rPr>
        <w:t>.201</w:t>
      </w:r>
      <w:r w:rsidR="00924573">
        <w:rPr>
          <w:bCs/>
          <w:sz w:val="24"/>
          <w:szCs w:val="24"/>
        </w:rPr>
        <w:t>9</w:t>
      </w:r>
      <w:r w:rsidR="00555BB1">
        <w:rPr>
          <w:bCs/>
          <w:sz w:val="24"/>
          <w:szCs w:val="24"/>
        </w:rPr>
        <w:t>г.</w:t>
      </w:r>
      <w:r>
        <w:rPr>
          <w:bCs/>
          <w:sz w:val="24"/>
          <w:szCs w:val="24"/>
        </w:rPr>
        <w:t xml:space="preserve">   №</w:t>
      </w:r>
      <w:r w:rsidR="006B1377">
        <w:rPr>
          <w:bCs/>
          <w:sz w:val="24"/>
          <w:szCs w:val="24"/>
        </w:rPr>
        <w:t>47</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924573">
                  <w:pPr>
                    <w:jc w:val="both"/>
                  </w:pPr>
                  <w:r>
                    <w:rPr>
                      <w:kern w:val="2"/>
                      <w:sz w:val="24"/>
                      <w:szCs w:val="24"/>
                    </w:rPr>
                    <w:t xml:space="preserve">общий объем финансирования муниципальной программы составляет </w:t>
                  </w:r>
                  <w:r w:rsidR="00924573">
                    <w:rPr>
                      <w:kern w:val="2"/>
                      <w:sz w:val="24"/>
                      <w:szCs w:val="24"/>
                    </w:rPr>
                    <w:t>423,9</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2019 году – </w:t>
                  </w:r>
                  <w:r w:rsidR="00924573">
                    <w:t xml:space="preserve"> 423,9</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 xml:space="preserve">в 2020 году –  </w:t>
                  </w:r>
                  <w:r w:rsidR="00924573">
                    <w:t xml:space="preserve">    0,0</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 xml:space="preserve">в 2021 году –   </w:t>
                  </w:r>
                  <w:r w:rsidR="00924573">
                    <w:t xml:space="preserve">   0,0</w:t>
                  </w:r>
                  <w:r>
                    <w:t>тыс. рублей;</w:t>
                  </w:r>
                </w:p>
              </w:tc>
            </w:tr>
            <w:tr w:rsidR="00C654C9">
              <w:trPr>
                <w:trHeight w:val="360"/>
              </w:trPr>
              <w:tc>
                <w:tcPr>
                  <w:tcW w:w="5718" w:type="dxa"/>
                  <w:shd w:val="clear" w:color="auto" w:fill="auto"/>
                </w:tcPr>
                <w:p w:rsidR="00C654C9" w:rsidRDefault="00A83A5D">
                  <w:pPr>
                    <w:pStyle w:val="afff7"/>
                    <w:spacing w:before="0" w:after="0"/>
                    <w:ind w:firstLine="0"/>
                  </w:pPr>
                  <w:r>
                    <w:t xml:space="preserve">в 2022 году –   </w:t>
                  </w:r>
                  <w:r w:rsidR="00924573">
                    <w:t xml:space="preserve">   </w:t>
                  </w:r>
                  <w: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924573">
                  <w:pPr>
                    <w:jc w:val="both"/>
                  </w:pPr>
                  <w:r>
                    <w:rPr>
                      <w:color w:val="000000"/>
                      <w:sz w:val="24"/>
                      <w:szCs w:val="24"/>
                    </w:rPr>
                    <w:t>423,9</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2019 году – </w:t>
                  </w:r>
                  <w:r w:rsidR="00924573">
                    <w:t>423,9</w:t>
                  </w:r>
                  <w:r>
                    <w:t xml:space="preserve"> тыс. рублей;</w:t>
                  </w:r>
                </w:p>
              </w:tc>
            </w:tr>
            <w:tr w:rsidR="00C654C9">
              <w:trPr>
                <w:trHeight w:val="360"/>
              </w:trPr>
              <w:tc>
                <w:tcPr>
                  <w:tcW w:w="5718" w:type="dxa"/>
                  <w:shd w:val="clear" w:color="auto" w:fill="auto"/>
                </w:tcPr>
                <w:p w:rsidR="00C654C9" w:rsidRDefault="00A83A5D" w:rsidP="00924573">
                  <w:pPr>
                    <w:pStyle w:val="afff7"/>
                    <w:spacing w:before="0" w:after="0"/>
                    <w:ind w:firstLine="0"/>
                  </w:pPr>
                  <w:r>
                    <w:t xml:space="preserve">в 2020 году – </w:t>
                  </w:r>
                  <w:r w:rsidR="00924573">
                    <w:t>0</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423,9</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423,9</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 xml:space="preserve">в 2022 году –  </w:t>
                  </w:r>
                  <w:r w:rsidR="000E56B8">
                    <w:t xml:space="preserve">   </w:t>
                  </w:r>
                  <w: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951820">
                  <w:pPr>
                    <w:jc w:val="both"/>
                  </w:pPr>
                  <w:r>
                    <w:rPr>
                      <w:color w:val="000000"/>
                      <w:sz w:val="24"/>
                      <w:szCs w:val="24"/>
                    </w:rPr>
                    <w:t>423,9</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lastRenderedPageBreak/>
                    <w:t xml:space="preserve">в 2019 году – </w:t>
                  </w:r>
                  <w:r w:rsidR="000E56B8">
                    <w:t>423,9</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программе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940"/>
        <w:gridCol w:w="1750"/>
        <w:gridCol w:w="326"/>
        <w:gridCol w:w="435"/>
        <w:gridCol w:w="1122"/>
        <w:gridCol w:w="325"/>
        <w:gridCol w:w="794"/>
        <w:gridCol w:w="721"/>
        <w:gridCol w:w="680"/>
        <w:gridCol w:w="708"/>
        <w:gridCol w:w="697"/>
        <w:gridCol w:w="698"/>
        <w:gridCol w:w="698"/>
        <w:gridCol w:w="698"/>
        <w:gridCol w:w="697"/>
        <w:gridCol w:w="698"/>
        <w:gridCol w:w="698"/>
        <w:gridCol w:w="698"/>
        <w:gridCol w:w="710"/>
      </w:tblGrid>
      <w:tr w:rsidR="00C654C9">
        <w:trPr>
          <w:tblHeader/>
        </w:trPr>
        <w:tc>
          <w:tcPr>
            <w:tcW w:w="1823" w:type="dxa"/>
            <w:tcBorders>
              <w:top w:val="single" w:sz="4" w:space="0" w:color="000000"/>
              <w:left w:val="single" w:sz="4" w:space="0" w:color="000000"/>
              <w:bottom w:val="single" w:sz="4" w:space="0" w:color="000000"/>
            </w:tcBorders>
            <w:shd w:val="clear" w:color="auto" w:fill="auto"/>
          </w:tcPr>
          <w:p w:rsidR="00C654C9" w:rsidRDefault="00A83A5D">
            <w:pPr>
              <w:pageBreakBefore/>
              <w:autoSpaceDE w:val="0"/>
              <w:jc w:val="center"/>
              <w:rPr>
                <w:kern w:val="2"/>
                <w:sz w:val="24"/>
                <w:szCs w:val="24"/>
              </w:rPr>
            </w:pPr>
            <w:r>
              <w:rPr>
                <w:kern w:val="2"/>
                <w:sz w:val="24"/>
                <w:szCs w:val="24"/>
              </w:rPr>
              <w:t>1</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3</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4</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5</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6</w:t>
            </w:r>
          </w:p>
        </w:tc>
        <w:tc>
          <w:tcPr>
            <w:tcW w:w="86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12</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13</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14</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15</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16</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19</w:t>
            </w:r>
          </w:p>
        </w:tc>
      </w:tr>
      <w:tr w:rsidR="00C654C9">
        <w:tc>
          <w:tcPr>
            <w:tcW w:w="1823"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024487">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024487">
            <w:pPr>
              <w:autoSpaceDE w:val="0"/>
              <w:rPr>
                <w:sz w:val="24"/>
                <w:szCs w:val="24"/>
              </w:rPr>
            </w:pPr>
            <w:r w:rsidRPr="00024487">
              <w:rPr>
                <w:kern w:val="2"/>
                <w:sz w:val="24"/>
                <w:szCs w:val="24"/>
                <w:lang w:eastAsia="en-US"/>
              </w:rPr>
              <w:t xml:space="preserve"> </w:t>
            </w:r>
          </w:p>
          <w:p w:rsidR="00C654C9" w:rsidRPr="00024487" w:rsidRDefault="00C654C9" w:rsidP="00277DC5">
            <w:pPr>
              <w:autoSpaceDE w:val="0"/>
              <w:rPr>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rPr>
            </w:pPr>
            <w:r>
              <w:rPr>
                <w:kern w:val="2"/>
                <w:sz w:val="24"/>
                <w:szCs w:val="24"/>
              </w:rPr>
              <w:t>всего</w:t>
            </w:r>
          </w:p>
          <w:p w:rsidR="00C654C9" w:rsidRDefault="00A83A5D">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rPr>
                <w:kern w:val="2"/>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общественных территорий муниципальных образований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 xml:space="preserve">сти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6144B8">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w:t>
            </w:r>
            <w:r w:rsidR="00A83A5D">
              <w:rPr>
                <w:spacing w:val="-10"/>
                <w:kern w:val="2"/>
                <w:sz w:val="24"/>
                <w:szCs w:val="24"/>
                <w:lang w:val="en-US"/>
              </w:rPr>
              <w:t>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423,9</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6144B8">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411"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686"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rPr>
                <w:spacing w:val="-10"/>
                <w:kern w:val="2"/>
                <w:sz w:val="24"/>
                <w:szCs w:val="24"/>
              </w:rPr>
            </w:pPr>
          </w:p>
        </w:tc>
        <w:tc>
          <w:tcPr>
            <w:tcW w:w="318"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867" w:type="dxa"/>
            <w:tcBorders>
              <w:top w:val="single" w:sz="4" w:space="0" w:color="000000"/>
              <w:left w:val="single" w:sz="4" w:space="0" w:color="000000"/>
              <w:bottom w:val="single" w:sz="4" w:space="0" w:color="000000"/>
            </w:tcBorders>
            <w:shd w:val="clear" w:color="auto" w:fill="auto"/>
          </w:tcPr>
          <w:p w:rsidR="000E56B8" w:rsidRDefault="000E56B8" w:rsidP="000E56B8">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AE685D">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0E56B8" w:rsidP="00AE685D">
            <w:pPr>
              <w:widowControl w:val="0"/>
              <w:autoSpaceDE w:val="0"/>
              <w:ind w:left="-57" w:right="-57"/>
              <w:jc w:val="center"/>
              <w:rPr>
                <w:spacing w:val="-10"/>
                <w:kern w:val="2"/>
                <w:sz w:val="24"/>
                <w:szCs w:val="24"/>
              </w:rPr>
            </w:pPr>
            <w:r>
              <w:rPr>
                <w:spacing w:val="-10"/>
                <w:kern w:val="2"/>
                <w:sz w:val="24"/>
                <w:szCs w:val="24"/>
              </w:rPr>
              <w:t>0,0</w:t>
            </w:r>
          </w:p>
        </w:tc>
        <w:tc>
          <w:tcPr>
            <w:tcW w:w="777" w:type="dxa"/>
            <w:tcBorders>
              <w:top w:val="single" w:sz="4" w:space="0" w:color="000000"/>
              <w:left w:val="single" w:sz="4" w:space="0" w:color="000000"/>
              <w:bottom w:val="single" w:sz="4" w:space="0" w:color="000000"/>
            </w:tcBorders>
            <w:shd w:val="clear" w:color="auto" w:fill="auto"/>
          </w:tcPr>
          <w:p w:rsidR="00C654C9" w:rsidRPr="000E56B8" w:rsidRDefault="000E56B8" w:rsidP="00AE685D">
            <w:pPr>
              <w:jc w:val="center"/>
              <w:rPr>
                <w:sz w:val="24"/>
                <w:szCs w:val="24"/>
              </w:rPr>
            </w:pPr>
            <w:r>
              <w:rPr>
                <w:sz w:val="24"/>
                <w:szCs w:val="24"/>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lang w:val="en-US"/>
              </w:rPr>
            </w:pPr>
            <w:r>
              <w:rPr>
                <w:lang w:val="en-US"/>
              </w:rPr>
              <w:t>0.0</w:t>
            </w:r>
          </w:p>
        </w:tc>
      </w:tr>
    </w:tbl>
    <w:p w:rsidR="00C654C9" w:rsidRDefault="00C654C9">
      <w:pPr>
        <w:autoSpaceDE w:val="0"/>
        <w:ind w:firstLine="709"/>
        <w:jc w:val="both"/>
        <w:rPr>
          <w:sz w:val="24"/>
          <w:szCs w:val="24"/>
        </w:rPr>
      </w:pP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1"/>
        <w:gridCol w:w="2050"/>
        <w:gridCol w:w="62"/>
        <w:gridCol w:w="1648"/>
        <w:gridCol w:w="62"/>
        <w:gridCol w:w="898"/>
        <w:gridCol w:w="62"/>
        <w:gridCol w:w="808"/>
        <w:gridCol w:w="62"/>
        <w:gridCol w:w="802"/>
        <w:gridCol w:w="62"/>
        <w:gridCol w:w="806"/>
        <w:gridCol w:w="62"/>
        <w:gridCol w:w="714"/>
        <w:gridCol w:w="62"/>
        <w:gridCol w:w="803"/>
        <w:gridCol w:w="62"/>
        <w:gridCol w:w="804"/>
        <w:gridCol w:w="62"/>
        <w:gridCol w:w="803"/>
        <w:gridCol w:w="62"/>
        <w:gridCol w:w="803"/>
        <w:gridCol w:w="62"/>
        <w:gridCol w:w="803"/>
        <w:gridCol w:w="62"/>
        <w:gridCol w:w="804"/>
        <w:gridCol w:w="62"/>
        <w:gridCol w:w="803"/>
        <w:gridCol w:w="62"/>
        <w:gridCol w:w="814"/>
        <w:gridCol w:w="62"/>
      </w:tblGrid>
      <w:tr w:rsidR="00C654C9" w:rsidTr="00024487">
        <w:trPr>
          <w:gridAfter w:val="1"/>
          <w:wAfter w:w="62" w:type="dxa"/>
          <w:tblHeader/>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C654C9" w:rsidTr="00024487">
        <w:trPr>
          <w:gridBefore w:val="1"/>
          <w:wBefore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
          <w:p w:rsidR="00C654C9" w:rsidRDefault="00464B24">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sidR="00A83A5D">
              <w:rPr>
                <w:kern w:val="2"/>
                <w:sz w:val="24"/>
                <w:szCs w:val="24"/>
                <w:lang w:eastAsia="en-US"/>
              </w:rPr>
              <w:t xml:space="preserve"> 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C654C9" w:rsidP="00024487">
            <w:pPr>
              <w:autoSpaceDE w:val="0"/>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386963">
            <w:pPr>
              <w:widowControl w:val="0"/>
              <w:autoSpaceDE w:val="0"/>
              <w:ind w:left="-57" w:right="-57"/>
              <w:jc w:val="center"/>
              <w:rPr>
                <w:spacing w:val="-10"/>
                <w:kern w:val="2"/>
                <w:sz w:val="24"/>
                <w:szCs w:val="24"/>
              </w:rPr>
            </w:pPr>
            <w:r>
              <w:rPr>
                <w:spacing w:val="-10"/>
                <w:kern w:val="2"/>
                <w:sz w:val="24"/>
                <w:szCs w:val="24"/>
              </w:rPr>
              <w:t>423,9</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rsidP="00386963">
            <w:pPr>
              <w:widowControl w:val="0"/>
              <w:autoSpaceDE w:val="0"/>
              <w:ind w:left="-57" w:right="-57"/>
              <w:jc w:val="center"/>
              <w:rPr>
                <w:spacing w:val="-10"/>
                <w:kern w:val="2"/>
                <w:sz w:val="24"/>
                <w:szCs w:val="24"/>
              </w:rPr>
            </w:pPr>
            <w:r>
              <w:rPr>
                <w:spacing w:val="-10"/>
                <w:kern w:val="2"/>
                <w:sz w:val="24"/>
                <w:szCs w:val="24"/>
              </w:rPr>
              <w:t>423,9</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386963">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386963">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423,9</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423,9</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Before w:val="1"/>
          <w:wBefore w:w="62" w:type="dxa"/>
          <w:trHeight w:val="691"/>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общественных территорий </w:t>
            </w:r>
          </w:p>
          <w:p w:rsidR="00C654C9" w:rsidRDefault="00464B24"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423,9</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423,9</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423,9</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423,9</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rsidTr="00024487">
        <w:trPr>
          <w:gridAfter w:val="1"/>
          <w:wAfter w:w="62" w:type="dxa"/>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C654C9" w:rsidTr="00024487">
        <w:trPr>
          <w:gridAfter w:val="1"/>
          <w:wAfter w:w="62" w:type="dxa"/>
          <w:trHeight w:val="267"/>
        </w:trPr>
        <w:tc>
          <w:tcPr>
            <w:tcW w:w="2112"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C654C9" w:rsidTr="00024487">
        <w:trPr>
          <w:gridAfter w:val="1"/>
          <w:wAfter w:w="62" w:type="dxa"/>
          <w:trHeight w:val="267"/>
        </w:trPr>
        <w:tc>
          <w:tcPr>
            <w:tcW w:w="2112"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rsidTr="00024487">
        <w:trPr>
          <w:gridAfter w:val="1"/>
          <w:wAfter w:w="62" w:type="dxa"/>
          <w:trHeight w:val="267"/>
        </w:trPr>
        <w:tc>
          <w:tcPr>
            <w:tcW w:w="2112"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0"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6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0"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4"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7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E8" w:rsidRDefault="000323E8">
      <w:r>
        <w:separator/>
      </w:r>
    </w:p>
  </w:endnote>
  <w:endnote w:type="continuationSeparator" w:id="0">
    <w:p w:rsidR="000323E8" w:rsidRDefault="00032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6" w:rsidRDefault="00664324">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185.9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FB0CF6" w:rsidRDefault="00664324">
                <w:pPr>
                  <w:pStyle w:val="afff4"/>
                  <w:rPr>
                    <w:rStyle w:val="a3"/>
                  </w:rPr>
                </w:pPr>
                <w:r>
                  <w:rPr>
                    <w:rStyle w:val="a3"/>
                  </w:rPr>
                  <w:fldChar w:fldCharType="begin"/>
                </w:r>
                <w:r w:rsidR="00FB0CF6">
                  <w:rPr>
                    <w:rStyle w:val="a3"/>
                  </w:rPr>
                  <w:instrText>PAGE</w:instrText>
                </w:r>
                <w:r>
                  <w:rPr>
                    <w:rStyle w:val="a3"/>
                  </w:rPr>
                  <w:fldChar w:fldCharType="separate"/>
                </w:r>
                <w:r w:rsidR="006B1377">
                  <w:rPr>
                    <w:rStyle w:val="a3"/>
                    <w:noProof/>
                  </w:rPr>
                  <w:t>8</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6" w:rsidRDefault="00664324">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60.9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FB0CF6" w:rsidRDefault="00664324">
                <w:pPr>
                  <w:pStyle w:val="afff4"/>
                  <w:rPr>
                    <w:rStyle w:val="a3"/>
                  </w:rPr>
                </w:pPr>
                <w:r>
                  <w:rPr>
                    <w:rStyle w:val="a3"/>
                  </w:rPr>
                  <w:fldChar w:fldCharType="begin"/>
                </w:r>
                <w:r w:rsidR="00FB0CF6">
                  <w:rPr>
                    <w:rStyle w:val="a3"/>
                  </w:rPr>
                  <w:instrText>PAGE</w:instrText>
                </w:r>
                <w:r>
                  <w:rPr>
                    <w:rStyle w:val="a3"/>
                  </w:rPr>
                  <w:fldChar w:fldCharType="separate"/>
                </w:r>
                <w:r w:rsidR="006B1377">
                  <w:rPr>
                    <w:rStyle w:val="a3"/>
                    <w:noProof/>
                  </w:rPr>
                  <w:t>19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F6" w:rsidRDefault="00664324">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60.9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FB0CF6" w:rsidRDefault="00664324">
                <w:pPr>
                  <w:pStyle w:val="afff4"/>
                  <w:rPr>
                    <w:rStyle w:val="a3"/>
                  </w:rPr>
                </w:pPr>
                <w:r>
                  <w:rPr>
                    <w:rStyle w:val="a3"/>
                  </w:rPr>
                  <w:fldChar w:fldCharType="begin"/>
                </w:r>
                <w:r w:rsidR="00FB0CF6">
                  <w:rPr>
                    <w:rStyle w:val="a3"/>
                  </w:rPr>
                  <w:instrText>PAGE</w:instrText>
                </w:r>
                <w:r>
                  <w:rPr>
                    <w:rStyle w:val="a3"/>
                  </w:rPr>
                  <w:fldChar w:fldCharType="separate"/>
                </w:r>
                <w:r w:rsidR="006B1377">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E8" w:rsidRDefault="000323E8">
      <w:r>
        <w:separator/>
      </w:r>
    </w:p>
  </w:footnote>
  <w:footnote w:type="continuationSeparator" w:id="0">
    <w:p w:rsidR="000323E8" w:rsidRDefault="000323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24487"/>
    <w:rsid w:val="000323E8"/>
    <w:rsid w:val="000614DE"/>
    <w:rsid w:val="000E56B8"/>
    <w:rsid w:val="0011169F"/>
    <w:rsid w:val="00277DC5"/>
    <w:rsid w:val="002927CF"/>
    <w:rsid w:val="002F25DB"/>
    <w:rsid w:val="002F7EEC"/>
    <w:rsid w:val="003377F7"/>
    <w:rsid w:val="00386963"/>
    <w:rsid w:val="00393F46"/>
    <w:rsid w:val="003D0276"/>
    <w:rsid w:val="00464B24"/>
    <w:rsid w:val="004C2152"/>
    <w:rsid w:val="00555BB1"/>
    <w:rsid w:val="005923BD"/>
    <w:rsid w:val="006144B8"/>
    <w:rsid w:val="00664324"/>
    <w:rsid w:val="006B1377"/>
    <w:rsid w:val="006E0DDA"/>
    <w:rsid w:val="00772500"/>
    <w:rsid w:val="007C7DA7"/>
    <w:rsid w:val="007E603A"/>
    <w:rsid w:val="00924573"/>
    <w:rsid w:val="00951820"/>
    <w:rsid w:val="009B59BC"/>
    <w:rsid w:val="009C6882"/>
    <w:rsid w:val="00A83A5D"/>
    <w:rsid w:val="00AE685D"/>
    <w:rsid w:val="00C22D1E"/>
    <w:rsid w:val="00C654C9"/>
    <w:rsid w:val="00CC16F1"/>
    <w:rsid w:val="00D85A0C"/>
    <w:rsid w:val="00E55C5E"/>
    <w:rsid w:val="00E6037F"/>
    <w:rsid w:val="00EF6584"/>
    <w:rsid w:val="00F20C7C"/>
    <w:rsid w:val="00F2519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0D40-2D53-4794-987E-D6E86B79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11</cp:revision>
  <cp:lastPrinted>2018-05-22T10:32:00Z</cp:lastPrinted>
  <dcterms:created xsi:type="dcterms:W3CDTF">2019-03-12T11:17:00Z</dcterms:created>
  <dcterms:modified xsi:type="dcterms:W3CDTF">2019-03-18T12:15:00Z</dcterms:modified>
  <dc:language>en-US</dc:language>
</cp:coreProperties>
</file>