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r w:rsidR="00604F19">
        <w:rPr>
          <w:noProof/>
          <w:position w:val="2"/>
          <w:sz w:val="24"/>
          <w:szCs w:val="24"/>
        </w:rPr>
        <w:t>ПРОЕКТ</w:t>
      </w:r>
      <w:r w:rsidR="001C382E">
        <w:rPr>
          <w:noProof/>
          <w:position w:val="2"/>
          <w:sz w:val="24"/>
          <w:szCs w:val="24"/>
        </w:rPr>
        <w:t xml:space="preserve">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604F19">
        <w:rPr>
          <w:sz w:val="24"/>
          <w:szCs w:val="24"/>
        </w:rPr>
        <w:t xml:space="preserve">                  </w:t>
      </w:r>
      <w:r w:rsidR="00FB364E">
        <w:rPr>
          <w:sz w:val="24"/>
          <w:szCs w:val="24"/>
        </w:rPr>
        <w:t xml:space="preserve"> </w:t>
      </w:r>
      <w:r>
        <w:rPr>
          <w:sz w:val="24"/>
          <w:szCs w:val="24"/>
        </w:rPr>
        <w:t xml:space="preserve"> 2021г.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sidR="00F741B3">
        <w:rPr>
          <w:sz w:val="24"/>
          <w:szCs w:val="24"/>
        </w:rPr>
        <w:t xml:space="preserve">       </w:t>
      </w:r>
      <w:r>
        <w:rPr>
          <w:sz w:val="24"/>
          <w:szCs w:val="24"/>
        </w:rPr>
        <w:t xml:space="preserve">    </w:t>
      </w:r>
      <w:r>
        <w:rPr>
          <w:sz w:val="24"/>
          <w:szCs w:val="24"/>
          <w:lang w:val="en-US"/>
        </w:rPr>
        <w:t>N</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sz w:val="24"/>
          <w:szCs w:val="24"/>
        </w:rPr>
      </w:pPr>
      <w:r>
        <w:rPr>
          <w:rFonts w:ascii="Times New Roman" w:hAnsi="Times New Roman" w:cs="Times New Roman"/>
          <w:sz w:val="24"/>
          <w:szCs w:val="24"/>
        </w:rPr>
        <w:t>сельское поселение».</w:t>
      </w: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7B306F">
              <w:rPr>
                <w:color w:val="000000"/>
                <w:sz w:val="24"/>
                <w:szCs w:val="24"/>
              </w:rPr>
              <w:t>19</w:t>
            </w:r>
            <w:r w:rsidR="00733D55">
              <w:rPr>
                <w:color w:val="000000"/>
                <w:sz w:val="24"/>
                <w:szCs w:val="24"/>
              </w:rPr>
              <w:t>9</w:t>
            </w:r>
            <w:r w:rsidR="0065074A">
              <w:rPr>
                <w:color w:val="000000"/>
                <w:sz w:val="24"/>
                <w:szCs w:val="24"/>
              </w:rPr>
              <w:t>03,8</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733D55">
              <w:rPr>
                <w:color w:val="000000"/>
                <w:sz w:val="24"/>
                <w:szCs w:val="24"/>
              </w:rPr>
              <w:t>8</w:t>
            </w:r>
            <w:r w:rsidR="0065074A">
              <w:rPr>
                <w:color w:val="000000"/>
                <w:sz w:val="24"/>
                <w:szCs w:val="24"/>
              </w:rPr>
              <w:t>03,0</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2022 год –      1570,2</w:t>
            </w:r>
            <w:r w:rsidR="001C382E">
              <w:rPr>
                <w:color w:val="000000"/>
                <w:sz w:val="24"/>
                <w:szCs w:val="24"/>
              </w:rPr>
              <w:t xml:space="preserve"> 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w:t>
      </w:r>
      <w:r w:rsidR="00EB75E5">
        <w:rPr>
          <w:rFonts w:ascii="Times New Roman" w:hAnsi="Times New Roman"/>
          <w:sz w:val="24"/>
          <w:szCs w:val="24"/>
        </w:rPr>
        <w:t>ы</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4C2152" w:rsidRDefault="001C382E" w:rsidP="000828AC">
      <w:pPr>
        <w:pStyle w:val="ConsPlusNormal"/>
        <w:widowControl/>
        <w:spacing w:after="0"/>
        <w:jc w:val="both"/>
        <w:rPr>
          <w:rFonts w:ascii="Times New Roman" w:hAnsi="Times New Roman"/>
          <w:sz w:val="24"/>
          <w:szCs w:val="24"/>
        </w:rPr>
      </w:pPr>
      <w:r>
        <w:rPr>
          <w:rFonts w:ascii="Times New Roman" w:hAnsi="Times New Roman"/>
          <w:sz w:val="24"/>
          <w:szCs w:val="24"/>
        </w:rPr>
        <w:t xml:space="preserve">    сельского поселения                                                                   </w:t>
      </w:r>
      <w:proofErr w:type="spellStart"/>
      <w:r w:rsidR="00A94D47">
        <w:rPr>
          <w:rFonts w:ascii="Times New Roman" w:hAnsi="Times New Roman"/>
          <w:sz w:val="24"/>
          <w:szCs w:val="24"/>
        </w:rPr>
        <w:t>Ю.И.Бородаенко</w:t>
      </w:r>
      <w:proofErr w:type="spellEnd"/>
    </w:p>
    <w:p w:rsidR="00733D55" w:rsidRPr="0077692C" w:rsidRDefault="00733D55" w:rsidP="000828AC">
      <w:pPr>
        <w:pStyle w:val="ConsPlusNormal"/>
        <w:widowControl/>
        <w:spacing w:after="0"/>
        <w:jc w:val="both"/>
        <w:rPr>
          <w:sz w:val="24"/>
          <w:szCs w:val="24"/>
        </w:rPr>
      </w:pPr>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604F19">
        <w:rPr>
          <w:bCs/>
          <w:sz w:val="24"/>
          <w:szCs w:val="24"/>
        </w:rPr>
        <w:t xml:space="preserve">  </w:t>
      </w:r>
      <w:r w:rsidR="00B165FC">
        <w:rPr>
          <w:bCs/>
          <w:sz w:val="24"/>
          <w:szCs w:val="24"/>
        </w:rPr>
        <w:t>.</w:t>
      </w:r>
      <w:r w:rsidR="00604F19">
        <w:rPr>
          <w:bCs/>
          <w:sz w:val="24"/>
          <w:szCs w:val="24"/>
        </w:rPr>
        <w:t xml:space="preserve">  </w:t>
      </w:r>
      <w:r w:rsidR="00555BB1" w:rsidRPr="0077692C">
        <w:rPr>
          <w:bCs/>
          <w:sz w:val="24"/>
          <w:szCs w:val="24"/>
        </w:rPr>
        <w:t>.20</w:t>
      </w:r>
      <w:r w:rsidR="00E86582" w:rsidRPr="0077692C">
        <w:rPr>
          <w:bCs/>
          <w:sz w:val="24"/>
          <w:szCs w:val="24"/>
        </w:rPr>
        <w:t>2</w:t>
      </w:r>
      <w:r w:rsidR="000828AC">
        <w:rPr>
          <w:bCs/>
          <w:sz w:val="24"/>
          <w:szCs w:val="24"/>
        </w:rPr>
        <w:t>1</w:t>
      </w:r>
      <w:r w:rsidR="00555BB1" w:rsidRPr="0077692C">
        <w:rPr>
          <w:bCs/>
          <w:sz w:val="24"/>
          <w:szCs w:val="24"/>
        </w:rPr>
        <w:t>г.</w:t>
      </w:r>
      <w:r w:rsidRPr="0077692C">
        <w:rPr>
          <w:bCs/>
          <w:sz w:val="24"/>
          <w:szCs w:val="24"/>
        </w:rPr>
        <w:t xml:space="preserve">   №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4B5489">
                  <w:pPr>
                    <w:jc w:val="both"/>
                    <w:rPr>
                      <w:sz w:val="24"/>
                      <w:szCs w:val="24"/>
                    </w:rPr>
                  </w:pPr>
                  <w:r w:rsidRPr="00544740">
                    <w:rPr>
                      <w:kern w:val="2"/>
                      <w:sz w:val="24"/>
                      <w:szCs w:val="24"/>
                    </w:rPr>
                    <w:t xml:space="preserve">общий объем финансирования муниципальной программы составляет </w:t>
                  </w:r>
                  <w:r w:rsidR="00906A91" w:rsidRPr="00544740">
                    <w:rPr>
                      <w:kern w:val="2"/>
                      <w:sz w:val="24"/>
                      <w:szCs w:val="24"/>
                    </w:rPr>
                    <w:t>19</w:t>
                  </w:r>
                  <w:r w:rsidR="00733D55">
                    <w:rPr>
                      <w:kern w:val="2"/>
                      <w:sz w:val="24"/>
                      <w:szCs w:val="24"/>
                    </w:rPr>
                    <w:t>9</w:t>
                  </w:r>
                  <w:r w:rsidR="004B5489">
                    <w:rPr>
                      <w:kern w:val="2"/>
                      <w:sz w:val="24"/>
                      <w:szCs w:val="24"/>
                    </w:rPr>
                    <w:t>03,8</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4B5489">
                  <w:pPr>
                    <w:pStyle w:val="afff7"/>
                    <w:spacing w:before="0" w:after="0"/>
                    <w:ind w:firstLine="0"/>
                  </w:pPr>
                  <w:r w:rsidRPr="00544740">
                    <w:t xml:space="preserve">в 2021 году –   </w:t>
                  </w:r>
                  <w:r w:rsidR="000828AC" w:rsidRPr="00544740">
                    <w:t xml:space="preserve">   </w:t>
                  </w:r>
                  <w:r w:rsidR="00733D55">
                    <w:t>8</w:t>
                  </w:r>
                  <w:r w:rsidR="004B5489">
                    <w:t>03,0</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164118">
                  <w:pPr>
                    <w:pStyle w:val="afff7"/>
                    <w:spacing w:before="0" w:after="0"/>
                    <w:ind w:firstLine="0"/>
                  </w:pPr>
                  <w:r w:rsidRPr="00544740">
                    <w:t xml:space="preserve">в 2022 году –   </w:t>
                  </w:r>
                  <w:r w:rsidR="00924573" w:rsidRPr="00544740">
                    <w:t xml:space="preserve"> </w:t>
                  </w:r>
                  <w:r w:rsidR="00733D55">
                    <w:t>1570,2</w:t>
                  </w:r>
                  <w:r w:rsidRPr="00544740">
                    <w:t xml:space="preserve"> 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544740" w:rsidP="004B5489">
                  <w:pPr>
                    <w:jc w:val="both"/>
                    <w:rPr>
                      <w:sz w:val="24"/>
                      <w:szCs w:val="24"/>
                    </w:rPr>
                  </w:pPr>
                  <w:r>
                    <w:rPr>
                      <w:color w:val="000000"/>
                      <w:sz w:val="24"/>
                      <w:szCs w:val="24"/>
                    </w:rPr>
                    <w:t>4</w:t>
                  </w:r>
                  <w:r w:rsidR="00733D55">
                    <w:rPr>
                      <w:color w:val="000000"/>
                      <w:sz w:val="24"/>
                      <w:szCs w:val="24"/>
                    </w:rPr>
                    <w:t>9</w:t>
                  </w:r>
                  <w:r w:rsidR="004B5489">
                    <w:rPr>
                      <w:color w:val="000000"/>
                      <w:sz w:val="24"/>
                      <w:szCs w:val="24"/>
                    </w:rPr>
                    <w:t>12,6</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4B5489">
                  <w:pPr>
                    <w:pStyle w:val="afff7"/>
                    <w:spacing w:before="0" w:after="0"/>
                    <w:ind w:firstLine="0"/>
                  </w:pPr>
                  <w:r w:rsidRPr="00544740">
                    <w:t xml:space="preserve">в 2021 году – </w:t>
                  </w:r>
                  <w:r w:rsidR="00733D55">
                    <w:t>8</w:t>
                  </w:r>
                  <w:r w:rsidR="004B5489">
                    <w:t>03,0</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544740">
                  <w:pPr>
                    <w:rPr>
                      <w:sz w:val="24"/>
                      <w:szCs w:val="24"/>
                    </w:rPr>
                  </w:pPr>
                  <w:r w:rsidRPr="00544740">
                    <w:rPr>
                      <w:sz w:val="24"/>
                      <w:szCs w:val="24"/>
                    </w:rPr>
                    <w:t xml:space="preserve">в 2022 году – </w:t>
                  </w:r>
                  <w:r w:rsidR="00733D55">
                    <w:rPr>
                      <w:sz w:val="24"/>
                      <w:szCs w:val="24"/>
                    </w:rPr>
                    <w:t>1570,2</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lastRenderedPageBreak/>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164118">
              <w:rPr>
                <w:kern w:val="2"/>
                <w:sz w:val="24"/>
                <w:szCs w:val="24"/>
              </w:rPr>
              <w:t>19</w:t>
            </w:r>
            <w:r w:rsidR="00733D55">
              <w:rPr>
                <w:kern w:val="2"/>
                <w:sz w:val="24"/>
                <w:szCs w:val="24"/>
              </w:rPr>
              <w:t>9</w:t>
            </w:r>
            <w:r w:rsidR="004B5489">
              <w:rPr>
                <w:kern w:val="2"/>
                <w:sz w:val="24"/>
                <w:szCs w:val="24"/>
              </w:rPr>
              <w:t>03,8</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4B5489">
                  <w:pPr>
                    <w:pStyle w:val="afff7"/>
                    <w:spacing w:before="0" w:after="0"/>
                    <w:ind w:firstLine="0"/>
                  </w:pPr>
                  <w:r w:rsidRPr="0077692C">
                    <w:t xml:space="preserve">в 2021 году –   </w:t>
                  </w:r>
                  <w:r w:rsidR="000828AC">
                    <w:t xml:space="preserve">  </w:t>
                  </w:r>
                  <w:r w:rsidR="00733D55">
                    <w:t>8</w:t>
                  </w:r>
                  <w:r w:rsidR="004B5489">
                    <w:t>03,0</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2022 году –  </w:t>
                  </w:r>
                  <w:r w:rsidR="000E56B8" w:rsidRPr="0077692C">
                    <w:t xml:space="preserve"> </w:t>
                  </w:r>
                  <w:r w:rsidRPr="0077692C">
                    <w:t xml:space="preserve"> </w:t>
                  </w:r>
                  <w:r w:rsidR="00733D55">
                    <w:t>1570,2</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544740" w:rsidP="004B5489">
                  <w:pPr>
                    <w:jc w:val="both"/>
                    <w:rPr>
                      <w:sz w:val="24"/>
                      <w:szCs w:val="24"/>
                    </w:rPr>
                  </w:pPr>
                  <w:r>
                    <w:rPr>
                      <w:color w:val="000000"/>
                      <w:sz w:val="24"/>
                      <w:szCs w:val="24"/>
                    </w:rPr>
                    <w:t>4</w:t>
                  </w:r>
                  <w:r w:rsidR="00A76FD8">
                    <w:rPr>
                      <w:color w:val="000000"/>
                      <w:sz w:val="24"/>
                      <w:szCs w:val="24"/>
                    </w:rPr>
                    <w:t>9</w:t>
                  </w:r>
                  <w:r w:rsidR="004B5489">
                    <w:rPr>
                      <w:color w:val="000000"/>
                      <w:sz w:val="24"/>
                      <w:szCs w:val="24"/>
                    </w:rPr>
                    <w:t>12,6</w:t>
                  </w:r>
                  <w:r w:rsidRPr="00544740">
                    <w:rPr>
                      <w:color w:val="000000"/>
                      <w:sz w:val="24"/>
                      <w:szCs w:val="24"/>
                    </w:rPr>
                    <w:t xml:space="preserve"> тыс. </w:t>
                  </w:r>
                  <w:proofErr w:type="spellStart"/>
                  <w:r w:rsidRPr="00544740">
                    <w:rPr>
                      <w:color w:val="000000"/>
                      <w:sz w:val="24"/>
                      <w:szCs w:val="24"/>
                    </w:rPr>
                    <w:t>руб</w:t>
                  </w:r>
                  <w:proofErr w:type="spellEnd"/>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4B5489">
                  <w:pPr>
                    <w:pStyle w:val="afff7"/>
                    <w:spacing w:before="0" w:after="0"/>
                    <w:ind w:firstLine="0"/>
                  </w:pPr>
                  <w:r w:rsidRPr="00544740">
                    <w:t xml:space="preserve">в 2021 году – </w:t>
                  </w:r>
                  <w:r w:rsidR="00A76FD8">
                    <w:t>8</w:t>
                  </w:r>
                  <w:r w:rsidR="004B5489">
                    <w:t>03,0</w:t>
                  </w:r>
                  <w:r>
                    <w:t>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sidR="00A76FD8">
                    <w:rPr>
                      <w:sz w:val="24"/>
                      <w:szCs w:val="24"/>
                    </w:rPr>
                    <w:t>1570,2</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5"/>
        <w:gridCol w:w="435"/>
        <w:gridCol w:w="1122"/>
        <w:gridCol w:w="325"/>
        <w:gridCol w:w="802"/>
        <w:gridCol w:w="705"/>
        <w:gridCol w:w="694"/>
        <w:gridCol w:w="869"/>
        <w:gridCol w:w="815"/>
        <w:gridCol w:w="866"/>
        <w:gridCol w:w="612"/>
        <w:gridCol w:w="612"/>
        <w:gridCol w:w="612"/>
        <w:gridCol w:w="612"/>
        <w:gridCol w:w="612"/>
        <w:gridCol w:w="612"/>
        <w:gridCol w:w="621"/>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E31FC2" w:rsidP="00A94D47">
            <w:pPr>
              <w:widowControl w:val="0"/>
              <w:autoSpaceDE w:val="0"/>
              <w:ind w:left="-57" w:right="-57"/>
              <w:jc w:val="center"/>
              <w:rPr>
                <w:spacing w:val="-10"/>
                <w:kern w:val="2"/>
                <w:sz w:val="22"/>
                <w:szCs w:val="22"/>
              </w:rPr>
            </w:pPr>
            <w:r>
              <w:rPr>
                <w:spacing w:val="-10"/>
                <w:kern w:val="2"/>
                <w:sz w:val="22"/>
                <w:szCs w:val="22"/>
              </w:rPr>
              <w:t>20002,2</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E31FC2" w:rsidP="00E31FC2">
            <w:pPr>
              <w:jc w:val="center"/>
              <w:rPr>
                <w:sz w:val="22"/>
                <w:szCs w:val="22"/>
              </w:rPr>
            </w:pPr>
            <w:r>
              <w:rPr>
                <w:sz w:val="22"/>
                <w:szCs w:val="22"/>
              </w:rPr>
              <w:t>901,4</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F22774" w:rsidP="00AA4A35">
            <w:pPr>
              <w:jc w:val="center"/>
              <w:rPr>
                <w:sz w:val="22"/>
                <w:szCs w:val="22"/>
              </w:rPr>
            </w:pPr>
            <w:r>
              <w:rPr>
                <w:sz w:val="22"/>
                <w:szCs w:val="22"/>
              </w:rPr>
              <w:t>15</w:t>
            </w:r>
            <w:r w:rsidR="00A76FD8">
              <w:rPr>
                <w:sz w:val="22"/>
                <w:szCs w:val="22"/>
              </w:rPr>
              <w:t>70,2</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E31FC2" w:rsidP="004B5489">
            <w:pPr>
              <w:widowControl w:val="0"/>
              <w:autoSpaceDE w:val="0"/>
              <w:ind w:left="-57" w:right="-57"/>
              <w:jc w:val="center"/>
              <w:rPr>
                <w:spacing w:val="-10"/>
                <w:kern w:val="2"/>
                <w:sz w:val="22"/>
                <w:szCs w:val="22"/>
              </w:rPr>
            </w:pPr>
            <w:r>
              <w:rPr>
                <w:spacing w:val="-10"/>
                <w:kern w:val="2"/>
                <w:sz w:val="22"/>
                <w:szCs w:val="22"/>
              </w:rPr>
              <w:t>20002,2</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E31FC2" w:rsidP="00A94D47">
            <w:pPr>
              <w:jc w:val="center"/>
              <w:rPr>
                <w:sz w:val="22"/>
                <w:szCs w:val="22"/>
              </w:rPr>
            </w:pPr>
            <w:r>
              <w:rPr>
                <w:sz w:val="22"/>
                <w:szCs w:val="22"/>
              </w:rPr>
              <w:t>901,4</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F22774" w:rsidP="000828AC">
            <w:pPr>
              <w:jc w:val="center"/>
              <w:rPr>
                <w:sz w:val="22"/>
                <w:szCs w:val="22"/>
              </w:rPr>
            </w:pPr>
            <w:r>
              <w:rPr>
                <w:sz w:val="22"/>
                <w:szCs w:val="22"/>
              </w:rPr>
              <w:t>15</w:t>
            </w:r>
            <w:r w:rsidR="00A76FD8">
              <w:rPr>
                <w:sz w:val="22"/>
                <w:szCs w:val="22"/>
              </w:rPr>
              <w:t>70,2</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E31FC2" w:rsidP="00A94D47">
            <w:pPr>
              <w:widowControl w:val="0"/>
              <w:autoSpaceDE w:val="0"/>
              <w:ind w:left="-57" w:right="-57"/>
              <w:jc w:val="center"/>
              <w:rPr>
                <w:spacing w:val="-10"/>
                <w:kern w:val="2"/>
                <w:sz w:val="22"/>
                <w:szCs w:val="22"/>
              </w:rPr>
            </w:pPr>
            <w:r>
              <w:rPr>
                <w:spacing w:val="-10"/>
                <w:kern w:val="2"/>
                <w:sz w:val="22"/>
                <w:szCs w:val="22"/>
              </w:rPr>
              <w:t>20002,2</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E31FC2" w:rsidP="004B5489">
            <w:pPr>
              <w:jc w:val="center"/>
              <w:rPr>
                <w:sz w:val="22"/>
                <w:szCs w:val="22"/>
              </w:rPr>
            </w:pPr>
            <w:r>
              <w:rPr>
                <w:sz w:val="22"/>
                <w:szCs w:val="22"/>
              </w:rPr>
              <w:t>901,4</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A76FD8" w:rsidP="000828AC">
            <w:pPr>
              <w:jc w:val="center"/>
              <w:rPr>
                <w:sz w:val="22"/>
                <w:szCs w:val="22"/>
              </w:rPr>
            </w:pPr>
            <w:r>
              <w:rPr>
                <w:sz w:val="22"/>
                <w:szCs w:val="22"/>
              </w:rPr>
              <w:t>1570,2</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E31FC2">
            <w:pPr>
              <w:widowControl w:val="0"/>
              <w:autoSpaceDE w:val="0"/>
              <w:ind w:left="-57" w:right="-57"/>
              <w:jc w:val="center"/>
              <w:rPr>
                <w:spacing w:val="-10"/>
                <w:kern w:val="2"/>
                <w:sz w:val="24"/>
                <w:szCs w:val="24"/>
              </w:rPr>
            </w:pPr>
            <w:r>
              <w:rPr>
                <w:spacing w:val="-10"/>
                <w:kern w:val="2"/>
                <w:sz w:val="24"/>
                <w:szCs w:val="24"/>
              </w:rPr>
              <w:t>1</w:t>
            </w:r>
            <w:r w:rsidR="00E31FC2">
              <w:rPr>
                <w:spacing w:val="-10"/>
                <w:kern w:val="2"/>
                <w:sz w:val="24"/>
                <w:szCs w:val="24"/>
              </w:rPr>
              <w:t>7985,8</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24" w:type="dxa"/>
            <w:tcBorders>
              <w:top w:val="single" w:sz="4" w:space="0" w:color="000000"/>
              <w:left w:val="single" w:sz="4" w:space="0" w:color="000000"/>
              <w:bottom w:val="single" w:sz="4" w:space="0" w:color="000000"/>
            </w:tcBorders>
            <w:shd w:val="clear" w:color="auto" w:fill="auto"/>
          </w:tcPr>
          <w:p w:rsidR="00AA4A35" w:rsidRDefault="00544740" w:rsidP="00905807">
            <w:pPr>
              <w:jc w:val="center"/>
            </w:pPr>
            <w:r>
              <w:t>15</w:t>
            </w:r>
            <w:r w:rsidR="00905807">
              <w:t>70,2</w:t>
            </w:r>
          </w:p>
        </w:tc>
        <w:tc>
          <w:tcPr>
            <w:tcW w:w="635" w:type="dxa"/>
            <w:tcBorders>
              <w:top w:val="single" w:sz="4" w:space="0" w:color="000000"/>
              <w:left w:val="single" w:sz="4" w:space="0" w:color="000000"/>
              <w:bottom w:val="single" w:sz="4" w:space="0" w:color="000000"/>
            </w:tcBorders>
            <w:shd w:val="clear" w:color="auto" w:fill="auto"/>
          </w:tcPr>
          <w:p w:rsidR="00AA4A35" w:rsidRDefault="00A80231" w:rsidP="00AA4A35">
            <w:pPr>
              <w:jc w:val="center"/>
            </w:pPr>
            <w:r>
              <w:t>9,0</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B7644"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604F19" w:rsidP="00AA4A35">
            <w:pPr>
              <w:widowControl w:val="0"/>
              <w:autoSpaceDE w:val="0"/>
              <w:ind w:left="-57" w:right="-57"/>
              <w:jc w:val="center"/>
              <w:rPr>
                <w:spacing w:val="-10"/>
                <w:kern w:val="2"/>
                <w:sz w:val="24"/>
                <w:szCs w:val="24"/>
              </w:rPr>
            </w:pPr>
            <w:r>
              <w:rPr>
                <w:spacing w:val="-10"/>
                <w:kern w:val="2"/>
                <w:sz w:val="24"/>
                <w:szCs w:val="24"/>
              </w:rPr>
              <w:t>1510,4</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604F19" w:rsidP="001855D5">
            <w:pPr>
              <w:jc w:val="center"/>
              <w:rPr>
                <w:sz w:val="24"/>
                <w:szCs w:val="24"/>
              </w:rPr>
            </w:pPr>
            <w:r>
              <w:rPr>
                <w:sz w:val="24"/>
                <w:szCs w:val="24"/>
              </w:rPr>
              <w:t>836,4</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80231" w:rsidP="00AA4A35">
            <w:pPr>
              <w:jc w:val="center"/>
            </w:pPr>
            <w:r>
              <w:t>438,8</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w:t>
            </w:r>
            <w:r w:rsidRPr="00024487">
              <w:rPr>
                <w:rFonts w:ascii="Times New Roman" w:hAnsi="Times New Roman"/>
                <w:sz w:val="24"/>
                <w:szCs w:val="24"/>
              </w:rPr>
              <w:lastRenderedPageBreak/>
              <w:t>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4F08CF" w:rsidP="00A94D47">
            <w:pPr>
              <w:widowControl w:val="0"/>
              <w:autoSpaceDE w:val="0"/>
              <w:ind w:left="-57" w:right="-57"/>
              <w:jc w:val="center"/>
              <w:rPr>
                <w:spacing w:val="-10"/>
                <w:kern w:val="2"/>
                <w:sz w:val="22"/>
                <w:szCs w:val="22"/>
              </w:rPr>
            </w:pPr>
            <w:r>
              <w:rPr>
                <w:spacing w:val="-10"/>
                <w:kern w:val="2"/>
                <w:sz w:val="22"/>
                <w:szCs w:val="22"/>
              </w:rPr>
              <w:t>20002,2</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4F08CF" w:rsidP="009C0B16">
            <w:pPr>
              <w:rPr>
                <w:sz w:val="22"/>
                <w:szCs w:val="22"/>
              </w:rPr>
            </w:pPr>
            <w:r>
              <w:rPr>
                <w:sz w:val="22"/>
                <w:szCs w:val="22"/>
              </w:rPr>
              <w:t>901,4</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D55820" w:rsidP="009C0B16">
            <w:pPr>
              <w:jc w:val="center"/>
              <w:rPr>
                <w:sz w:val="22"/>
                <w:szCs w:val="22"/>
              </w:rPr>
            </w:pPr>
            <w:r>
              <w:rPr>
                <w:sz w:val="22"/>
                <w:szCs w:val="22"/>
              </w:rPr>
              <w:t>15</w:t>
            </w:r>
            <w:r w:rsidR="009C0B16">
              <w:rPr>
                <w:sz w:val="22"/>
                <w:szCs w:val="22"/>
              </w:rPr>
              <w:t>70,2</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4F08CF" w:rsidP="009C0B16">
            <w:pPr>
              <w:widowControl w:val="0"/>
              <w:autoSpaceDE w:val="0"/>
              <w:ind w:left="-57" w:right="-57"/>
              <w:jc w:val="center"/>
              <w:rPr>
                <w:spacing w:val="-10"/>
                <w:kern w:val="2"/>
                <w:sz w:val="24"/>
                <w:szCs w:val="24"/>
              </w:rPr>
            </w:pPr>
            <w:r>
              <w:rPr>
                <w:spacing w:val="-10"/>
                <w:kern w:val="2"/>
                <w:sz w:val="24"/>
                <w:szCs w:val="24"/>
              </w:rPr>
              <w:t>5011,0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4F08CF" w:rsidP="009C0B16">
            <w:pPr>
              <w:jc w:val="center"/>
              <w:rPr>
                <w:sz w:val="24"/>
                <w:szCs w:val="24"/>
              </w:rPr>
            </w:pPr>
            <w:r>
              <w:rPr>
                <w:sz w:val="24"/>
                <w:szCs w:val="24"/>
              </w:rPr>
              <w:t>901,4</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15</w:t>
            </w:r>
            <w:r w:rsidR="009C0B16">
              <w:t>70,2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D55820" w:rsidP="00D55820">
            <w:pPr>
              <w:autoSpaceDE w:val="0"/>
              <w:spacing w:line="220" w:lineRule="auto"/>
              <w:ind w:left="-57" w:right="-57"/>
              <w:jc w:val="center"/>
              <w:rPr>
                <w:spacing w:val="-10"/>
                <w:kern w:val="2"/>
                <w:sz w:val="24"/>
                <w:szCs w:val="24"/>
              </w:rPr>
            </w:pPr>
            <w:r>
              <w:rPr>
                <w:spacing w:val="-10"/>
                <w:kern w:val="2"/>
                <w:sz w:val="24"/>
                <w:szCs w:val="24"/>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F31E1E" w:rsidP="00A94D47">
            <w:pPr>
              <w:widowControl w:val="0"/>
              <w:autoSpaceDE w:val="0"/>
              <w:ind w:left="-57" w:right="-57"/>
              <w:jc w:val="center"/>
              <w:rPr>
                <w:spacing w:val="-10"/>
                <w:kern w:val="2"/>
                <w:sz w:val="22"/>
                <w:szCs w:val="22"/>
              </w:rPr>
            </w:pPr>
            <w:r>
              <w:rPr>
                <w:spacing w:val="-10"/>
                <w:kern w:val="2"/>
                <w:sz w:val="22"/>
                <w:szCs w:val="22"/>
              </w:rPr>
              <w:t>20002,2</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F31E1E" w:rsidP="00733D55">
            <w:pPr>
              <w:jc w:val="center"/>
              <w:rPr>
                <w:sz w:val="22"/>
                <w:szCs w:val="22"/>
              </w:rPr>
            </w:pPr>
            <w:r>
              <w:rPr>
                <w:sz w:val="22"/>
                <w:szCs w:val="22"/>
              </w:rPr>
              <w:t>901,4</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jc w:val="center"/>
              <w:rPr>
                <w:sz w:val="22"/>
                <w:szCs w:val="22"/>
              </w:rPr>
            </w:pPr>
            <w:r>
              <w:rPr>
                <w:sz w:val="22"/>
                <w:szCs w:val="22"/>
              </w:rPr>
              <w:t>1502,3</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Default="00F31E1E" w:rsidP="009C0B16">
            <w:pPr>
              <w:widowControl w:val="0"/>
              <w:autoSpaceDE w:val="0"/>
              <w:ind w:left="-57" w:right="-57"/>
              <w:jc w:val="center"/>
              <w:rPr>
                <w:spacing w:val="-10"/>
                <w:kern w:val="2"/>
                <w:sz w:val="24"/>
                <w:szCs w:val="24"/>
              </w:rPr>
            </w:pPr>
            <w:r>
              <w:rPr>
                <w:spacing w:val="-10"/>
                <w:kern w:val="2"/>
                <w:sz w:val="24"/>
                <w:szCs w:val="24"/>
              </w:rPr>
              <w:t>5011,0</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F31E1E" w:rsidP="00733D55">
            <w:pPr>
              <w:jc w:val="center"/>
              <w:rPr>
                <w:sz w:val="24"/>
                <w:szCs w:val="24"/>
              </w:rPr>
            </w:pPr>
            <w:r>
              <w:rPr>
                <w:sz w:val="24"/>
                <w:szCs w:val="24"/>
              </w:rPr>
              <w:t>901,4</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1502,3</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19" w:rsidRDefault="00604F19">
      <w:r>
        <w:separator/>
      </w:r>
    </w:p>
  </w:endnote>
  <w:endnote w:type="continuationSeparator" w:id="0">
    <w:p w:rsidR="00604F19" w:rsidRDefault="00604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604F19">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1723.7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604F19" w:rsidRDefault="00604F19">
                <w:pPr>
                  <w:pStyle w:val="afff4"/>
                  <w:rPr>
                    <w:rStyle w:val="a3"/>
                  </w:rPr>
                </w:pPr>
                <w:r>
                  <w:rPr>
                    <w:rStyle w:val="a3"/>
                  </w:rPr>
                  <w:fldChar w:fldCharType="begin"/>
                </w:r>
                <w:r>
                  <w:rPr>
                    <w:rStyle w:val="a3"/>
                  </w:rPr>
                  <w:instrText>PAGE</w:instrText>
                </w:r>
                <w:r>
                  <w:rPr>
                    <w:rStyle w:val="a3"/>
                  </w:rPr>
                  <w:fldChar w:fldCharType="separate"/>
                </w:r>
                <w:r w:rsidR="004F08CF">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604F19">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478.7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604F19" w:rsidRDefault="00604F19">
                <w:pPr>
                  <w:pStyle w:val="afff4"/>
                  <w:rPr>
                    <w:rStyle w:val="a3"/>
                  </w:rPr>
                </w:pPr>
                <w:r>
                  <w:rPr>
                    <w:rStyle w:val="a3"/>
                  </w:rPr>
                  <w:fldChar w:fldCharType="begin"/>
                </w:r>
                <w:r>
                  <w:rPr>
                    <w:rStyle w:val="a3"/>
                  </w:rPr>
                  <w:instrText>PAGE</w:instrText>
                </w:r>
                <w:r>
                  <w:rPr>
                    <w:rStyle w:val="a3"/>
                  </w:rPr>
                  <w:fldChar w:fldCharType="separate"/>
                </w:r>
                <w:r w:rsidR="00F31E1E">
                  <w:rPr>
                    <w:rStyle w:val="a3"/>
                    <w:noProof/>
                  </w:rPr>
                  <w:t>18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19" w:rsidRDefault="00604F19">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478.7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604F19" w:rsidRDefault="00604F19">
                <w:pPr>
                  <w:pStyle w:val="afff4"/>
                  <w:rPr>
                    <w:rStyle w:val="a3"/>
                  </w:rPr>
                </w:pPr>
                <w:r>
                  <w:rPr>
                    <w:rStyle w:val="a3"/>
                  </w:rPr>
                  <w:fldChar w:fldCharType="begin"/>
                </w:r>
                <w:r>
                  <w:rPr>
                    <w:rStyle w:val="a3"/>
                  </w:rPr>
                  <w:instrText>PAGE</w:instrText>
                </w:r>
                <w:r>
                  <w:rPr>
                    <w:rStyle w:val="a3"/>
                  </w:rPr>
                  <w:fldChar w:fldCharType="separate"/>
                </w:r>
                <w:r w:rsidR="00F31E1E">
                  <w:rPr>
                    <w:rStyle w:val="a3"/>
                    <w:noProof/>
                  </w:rPr>
                  <w:t>19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19" w:rsidRDefault="00604F19">
      <w:r>
        <w:separator/>
      </w:r>
    </w:p>
  </w:footnote>
  <w:footnote w:type="continuationSeparator" w:id="0">
    <w:p w:rsidR="00604F19" w:rsidRDefault="00604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41108"/>
    <w:rsid w:val="000614DE"/>
    <w:rsid w:val="00061EDA"/>
    <w:rsid w:val="00076041"/>
    <w:rsid w:val="000763DC"/>
    <w:rsid w:val="000828AC"/>
    <w:rsid w:val="00082DCC"/>
    <w:rsid w:val="00097118"/>
    <w:rsid w:val="000A14DF"/>
    <w:rsid w:val="000A2929"/>
    <w:rsid w:val="000B5E01"/>
    <w:rsid w:val="000D5B59"/>
    <w:rsid w:val="000E56B8"/>
    <w:rsid w:val="000E5A6F"/>
    <w:rsid w:val="0011169F"/>
    <w:rsid w:val="001340F0"/>
    <w:rsid w:val="00142EEB"/>
    <w:rsid w:val="001458A6"/>
    <w:rsid w:val="00164118"/>
    <w:rsid w:val="001812E7"/>
    <w:rsid w:val="001855D5"/>
    <w:rsid w:val="001A46CB"/>
    <w:rsid w:val="001B2A4A"/>
    <w:rsid w:val="001B4556"/>
    <w:rsid w:val="001C1AF4"/>
    <w:rsid w:val="001C382E"/>
    <w:rsid w:val="001E08C8"/>
    <w:rsid w:val="00222899"/>
    <w:rsid w:val="002245C8"/>
    <w:rsid w:val="00245526"/>
    <w:rsid w:val="002510BC"/>
    <w:rsid w:val="002775A5"/>
    <w:rsid w:val="002776B6"/>
    <w:rsid w:val="00277849"/>
    <w:rsid w:val="00277DC5"/>
    <w:rsid w:val="002925C0"/>
    <w:rsid w:val="002927CF"/>
    <w:rsid w:val="002A4492"/>
    <w:rsid w:val="002D1B5B"/>
    <w:rsid w:val="002F0DBB"/>
    <w:rsid w:val="002F25DB"/>
    <w:rsid w:val="002F7EEC"/>
    <w:rsid w:val="003377F7"/>
    <w:rsid w:val="00364322"/>
    <w:rsid w:val="00371C01"/>
    <w:rsid w:val="00386963"/>
    <w:rsid w:val="00393F46"/>
    <w:rsid w:val="003949CC"/>
    <w:rsid w:val="00396602"/>
    <w:rsid w:val="003A47A3"/>
    <w:rsid w:val="003B7644"/>
    <w:rsid w:val="003D0276"/>
    <w:rsid w:val="003D6F7C"/>
    <w:rsid w:val="00415775"/>
    <w:rsid w:val="00433959"/>
    <w:rsid w:val="00464B24"/>
    <w:rsid w:val="004A3120"/>
    <w:rsid w:val="004B01C2"/>
    <w:rsid w:val="004B5489"/>
    <w:rsid w:val="004C2152"/>
    <w:rsid w:val="004D3360"/>
    <w:rsid w:val="004F01F5"/>
    <w:rsid w:val="004F08CF"/>
    <w:rsid w:val="00541F7C"/>
    <w:rsid w:val="00544740"/>
    <w:rsid w:val="005544AA"/>
    <w:rsid w:val="00555BB1"/>
    <w:rsid w:val="005923BD"/>
    <w:rsid w:val="005A34C8"/>
    <w:rsid w:val="005A6E50"/>
    <w:rsid w:val="005D3547"/>
    <w:rsid w:val="005F468E"/>
    <w:rsid w:val="00604F19"/>
    <w:rsid w:val="006144B8"/>
    <w:rsid w:val="0065074A"/>
    <w:rsid w:val="00664324"/>
    <w:rsid w:val="0067575C"/>
    <w:rsid w:val="006949C8"/>
    <w:rsid w:val="006B1377"/>
    <w:rsid w:val="006B7F7A"/>
    <w:rsid w:val="006E0DDA"/>
    <w:rsid w:val="006E51D1"/>
    <w:rsid w:val="00703EE5"/>
    <w:rsid w:val="00714856"/>
    <w:rsid w:val="00733D55"/>
    <w:rsid w:val="00744A4D"/>
    <w:rsid w:val="0075453B"/>
    <w:rsid w:val="00762A20"/>
    <w:rsid w:val="00772500"/>
    <w:rsid w:val="0077692C"/>
    <w:rsid w:val="007816E4"/>
    <w:rsid w:val="007B306F"/>
    <w:rsid w:val="007C7DA7"/>
    <w:rsid w:val="007D65D6"/>
    <w:rsid w:val="007E1C24"/>
    <w:rsid w:val="007E603A"/>
    <w:rsid w:val="007F29F5"/>
    <w:rsid w:val="00833F54"/>
    <w:rsid w:val="0085726F"/>
    <w:rsid w:val="008662B1"/>
    <w:rsid w:val="0086778B"/>
    <w:rsid w:val="00881262"/>
    <w:rsid w:val="00885155"/>
    <w:rsid w:val="008A0AA3"/>
    <w:rsid w:val="008B38E5"/>
    <w:rsid w:val="008C7574"/>
    <w:rsid w:val="008D1959"/>
    <w:rsid w:val="008E44DD"/>
    <w:rsid w:val="008E72BE"/>
    <w:rsid w:val="00905807"/>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A208A5"/>
    <w:rsid w:val="00A24215"/>
    <w:rsid w:val="00A70797"/>
    <w:rsid w:val="00A76FD8"/>
    <w:rsid w:val="00A80231"/>
    <w:rsid w:val="00A83A5D"/>
    <w:rsid w:val="00A84B54"/>
    <w:rsid w:val="00A94D47"/>
    <w:rsid w:val="00AA4A35"/>
    <w:rsid w:val="00AA4D17"/>
    <w:rsid w:val="00AA6381"/>
    <w:rsid w:val="00AB706E"/>
    <w:rsid w:val="00AE61C7"/>
    <w:rsid w:val="00AE685D"/>
    <w:rsid w:val="00AE7358"/>
    <w:rsid w:val="00AF2B76"/>
    <w:rsid w:val="00AF477E"/>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22907"/>
    <w:rsid w:val="00C22D1E"/>
    <w:rsid w:val="00C25CBE"/>
    <w:rsid w:val="00C314E3"/>
    <w:rsid w:val="00C654C9"/>
    <w:rsid w:val="00C86056"/>
    <w:rsid w:val="00CA79D2"/>
    <w:rsid w:val="00CC16F1"/>
    <w:rsid w:val="00CD3C65"/>
    <w:rsid w:val="00CF3DFF"/>
    <w:rsid w:val="00D23C41"/>
    <w:rsid w:val="00D43702"/>
    <w:rsid w:val="00D55820"/>
    <w:rsid w:val="00D61F7C"/>
    <w:rsid w:val="00D85A0C"/>
    <w:rsid w:val="00DB4C21"/>
    <w:rsid w:val="00DD55B7"/>
    <w:rsid w:val="00DE02A4"/>
    <w:rsid w:val="00E20848"/>
    <w:rsid w:val="00E2084D"/>
    <w:rsid w:val="00E31FC2"/>
    <w:rsid w:val="00E412B3"/>
    <w:rsid w:val="00E55C5E"/>
    <w:rsid w:val="00E6037F"/>
    <w:rsid w:val="00E80153"/>
    <w:rsid w:val="00E86582"/>
    <w:rsid w:val="00EB071F"/>
    <w:rsid w:val="00EB75E5"/>
    <w:rsid w:val="00EF6584"/>
    <w:rsid w:val="00EF6CA4"/>
    <w:rsid w:val="00F03F93"/>
    <w:rsid w:val="00F20C7C"/>
    <w:rsid w:val="00F22774"/>
    <w:rsid w:val="00F24A4F"/>
    <w:rsid w:val="00F25199"/>
    <w:rsid w:val="00F31E1E"/>
    <w:rsid w:val="00F46DFF"/>
    <w:rsid w:val="00F46F09"/>
    <w:rsid w:val="00F63D0D"/>
    <w:rsid w:val="00F741B3"/>
    <w:rsid w:val="00F8279E"/>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2C3A-5F36-4CF9-902F-4D70435D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19</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57</cp:revision>
  <cp:lastPrinted>2021-09-07T07:44:00Z</cp:lastPrinted>
  <dcterms:created xsi:type="dcterms:W3CDTF">2020-12-14T08:50:00Z</dcterms:created>
  <dcterms:modified xsi:type="dcterms:W3CDTF">2021-10-18T10:49:00Z</dcterms:modified>
  <dc:language>en-US</dc:language>
</cp:coreProperties>
</file>