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7" w:rsidRDefault="00F273A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0A39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ED29FD">
        <w:rPr>
          <w:rFonts w:ascii="Times New Roman" w:hAnsi="Times New Roman"/>
          <w:b/>
          <w:sz w:val="24"/>
          <w:szCs w:val="24"/>
        </w:rPr>
        <w:t xml:space="preserve"> </w:t>
      </w:r>
      <w:r w:rsidR="005D6220">
        <w:rPr>
          <w:rFonts w:ascii="Times New Roman" w:hAnsi="Times New Roman"/>
          <w:b/>
          <w:sz w:val="24"/>
          <w:szCs w:val="24"/>
        </w:rPr>
        <w:t>16 июня</w:t>
      </w:r>
      <w:r w:rsidR="001B6532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D29FD">
        <w:rPr>
          <w:rFonts w:ascii="Times New Roman" w:hAnsi="Times New Roman"/>
          <w:b/>
          <w:sz w:val="24"/>
          <w:szCs w:val="24"/>
        </w:rPr>
        <w:t>6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r w:rsidR="005D6220">
        <w:rPr>
          <w:rFonts w:ascii="Times New Roman" w:hAnsi="Times New Roman"/>
          <w:b/>
          <w:sz w:val="24"/>
          <w:szCs w:val="24"/>
        </w:rPr>
        <w:t>287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1B6532">
        <w:rPr>
          <w:sz w:val="24"/>
          <w:szCs w:val="24"/>
        </w:rPr>
        <w:t>4</w:t>
      </w:r>
      <w:r w:rsidR="00D90382">
        <w:rPr>
          <w:sz w:val="24"/>
          <w:szCs w:val="24"/>
        </w:rPr>
        <w:t>256,4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269,4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proofErr w:type="spellStart"/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</w:t>
      </w:r>
      <w:proofErr w:type="spellEnd"/>
      <w:r w:rsidRPr="005B7AE2">
        <w:rPr>
          <w:sz w:val="24"/>
          <w:szCs w:val="24"/>
        </w:rPr>
        <w:t>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2019году-   35,0</w:t>
      </w:r>
      <w:r w:rsidR="001B6532">
        <w:rPr>
          <w:sz w:val="24"/>
          <w:szCs w:val="24"/>
        </w:rPr>
        <w:t xml:space="preserve"> </w:t>
      </w:r>
      <w:proofErr w:type="spellStart"/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</w:t>
      </w:r>
      <w:proofErr w:type="spellEnd"/>
      <w:r w:rsidR="005B7AE2" w:rsidRPr="005B7AE2">
        <w:rPr>
          <w:sz w:val="24"/>
          <w:szCs w:val="24"/>
        </w:rPr>
        <w:t>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35,0</w:t>
      </w:r>
      <w:r w:rsidR="001B6532">
        <w:rPr>
          <w:sz w:val="24"/>
          <w:szCs w:val="24"/>
        </w:rPr>
        <w:t xml:space="preserve"> </w:t>
      </w:r>
      <w:proofErr w:type="spellStart"/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</w:t>
      </w:r>
      <w:proofErr w:type="spellEnd"/>
      <w:r w:rsidR="005B7AE2" w:rsidRPr="005B7AE2">
        <w:rPr>
          <w:sz w:val="24"/>
          <w:szCs w:val="24"/>
        </w:rPr>
        <w:t>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EC04FA" w:rsidRPr="005B7AE2" w:rsidRDefault="00206CAC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        Е.А. Щербакова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сельского поселения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1455,8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2014году- 513,2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269,4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Pr="001B6532" w:rsidRDefault="00D40D24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532" w:rsidRDefault="00D40D24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2020году-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7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AC0E44">
        <w:rPr>
          <w:rFonts w:ascii="Times New Roman" w:hAnsi="Times New Roman"/>
          <w:sz w:val="24"/>
          <w:szCs w:val="24"/>
        </w:rPr>
        <w:t>455,8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2014году- 513,2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269,4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D40D24">
        <w:rPr>
          <w:rFonts w:ascii="Times New Roman" w:hAnsi="Times New Roman"/>
          <w:sz w:val="24"/>
          <w:szCs w:val="24"/>
        </w:rPr>
        <w:t>оду- 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1B6532" w:rsidRPr="001B6532" w:rsidRDefault="00D40D24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2019году-   35,0</w:t>
      </w:r>
      <w:r w:rsidR="001B6532"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532"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="001B6532" w:rsidRPr="001B6532">
        <w:rPr>
          <w:rFonts w:ascii="Times New Roman" w:hAnsi="Times New Roman"/>
          <w:sz w:val="24"/>
          <w:szCs w:val="24"/>
        </w:rPr>
        <w:t>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</w:t>
      </w:r>
      <w:proofErr w:type="spellEnd"/>
      <w:r w:rsidRPr="001B6532"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9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х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10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1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х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после принятия  постановления о его утверждении подлежит размещению д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192,2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192,2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2016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709,6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239,4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BF69D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объем ассигнований областного бюджета на реализацию подпрограммы  на период 2014 – 2020 годы – </w:t>
      </w:r>
      <w:r w:rsidR="00BF69DB">
        <w:rPr>
          <w:rFonts w:ascii="Times New Roman" w:hAnsi="Times New Roman"/>
          <w:sz w:val="24"/>
          <w:szCs w:val="24"/>
        </w:rPr>
        <w:t>8</w:t>
      </w:r>
      <w:r w:rsidR="00E36AF4">
        <w:rPr>
          <w:rFonts w:ascii="Times New Roman" w:hAnsi="Times New Roman"/>
          <w:sz w:val="24"/>
          <w:szCs w:val="24"/>
        </w:rPr>
        <w:t>80,2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239,4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 xml:space="preserve">5,0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E36AF4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149,0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рублей;2017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рублей;2018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рублей;2019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869"/>
        <w:gridCol w:w="1094"/>
        <w:gridCol w:w="428"/>
        <w:gridCol w:w="428"/>
        <w:gridCol w:w="428"/>
        <w:gridCol w:w="428"/>
      </w:tblGrid>
      <w:tr w:rsidR="00EC04FA" w:rsidTr="00AF3A9E">
        <w:trPr>
          <w:cantSplit/>
        </w:trPr>
        <w:tc>
          <w:tcPr>
            <w:tcW w:w="130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2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29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36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818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AF3A9E">
        <w:trPr>
          <w:cantSplit/>
        </w:trPr>
        <w:tc>
          <w:tcPr>
            <w:tcW w:w="130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2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9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>
            <w:pPr>
              <w:pStyle w:val="a0"/>
            </w:pPr>
            <w:r>
              <w:t>269,4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AF3A9E">
        <w:trPr>
          <w:cantSplit/>
          <w:trHeight w:val="665"/>
        </w:trPr>
        <w:tc>
          <w:tcPr>
            <w:tcW w:w="130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-грамма</w:t>
            </w:r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FB17D5">
            <w:pPr>
              <w:pStyle w:val="a0"/>
            </w:pPr>
            <w:r>
              <w:t>239,4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AF3A9E">
        <w:trPr>
          <w:cantSplit/>
        </w:trPr>
        <w:tc>
          <w:tcPr>
            <w:tcW w:w="1306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20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295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2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1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21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854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75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ED29FD">
            <w:r>
              <w:t>239,4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67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AF3A9E">
        <w:trPr>
          <w:cantSplit/>
        </w:trPr>
        <w:tc>
          <w:tcPr>
            <w:tcW w:w="130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14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9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85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7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6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ED29FD">
            <w:r>
              <w:t>269,4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35,0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956340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ED29FD">
            <w:r>
              <w:t>239,4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EB53D7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401C6B">
              <w:t>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FA"/>
    <w:rsid w:val="00080139"/>
    <w:rsid w:val="0009323E"/>
    <w:rsid w:val="000A325A"/>
    <w:rsid w:val="000A3947"/>
    <w:rsid w:val="000D7A04"/>
    <w:rsid w:val="001B6532"/>
    <w:rsid w:val="001F1E4C"/>
    <w:rsid w:val="00206CAC"/>
    <w:rsid w:val="00232F40"/>
    <w:rsid w:val="003044A1"/>
    <w:rsid w:val="003E3423"/>
    <w:rsid w:val="00425A30"/>
    <w:rsid w:val="00462EB4"/>
    <w:rsid w:val="005B7AE2"/>
    <w:rsid w:val="005D6220"/>
    <w:rsid w:val="005E1638"/>
    <w:rsid w:val="006D060C"/>
    <w:rsid w:val="00763DAA"/>
    <w:rsid w:val="007C29AA"/>
    <w:rsid w:val="007F55A1"/>
    <w:rsid w:val="00827744"/>
    <w:rsid w:val="00924F26"/>
    <w:rsid w:val="00956340"/>
    <w:rsid w:val="009D52D8"/>
    <w:rsid w:val="00A465BE"/>
    <w:rsid w:val="00A76FC4"/>
    <w:rsid w:val="00AC0E44"/>
    <w:rsid w:val="00AF3A9E"/>
    <w:rsid w:val="00AF5E8E"/>
    <w:rsid w:val="00BF69DB"/>
    <w:rsid w:val="00CB4890"/>
    <w:rsid w:val="00D17D5F"/>
    <w:rsid w:val="00D40D24"/>
    <w:rsid w:val="00D463C3"/>
    <w:rsid w:val="00D576DD"/>
    <w:rsid w:val="00D90382"/>
    <w:rsid w:val="00E36AF4"/>
    <w:rsid w:val="00E7773B"/>
    <w:rsid w:val="00E80A6F"/>
    <w:rsid w:val="00EA21EF"/>
    <w:rsid w:val="00EC04FA"/>
    <w:rsid w:val="00ED29FD"/>
    <w:rsid w:val="00EE6108"/>
    <w:rsid w:val="00F25D92"/>
    <w:rsid w:val="00F273A7"/>
    <w:rsid w:val="00F91354"/>
    <w:rsid w:val="00F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02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Default.aspx?pageid=12302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land.ru/Default.aspx?pageid=1230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0F61-700F-4717-826C-9F355E35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40</Pages>
  <Words>10147</Words>
  <Characters>57842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ОС Т А Н О В Л Е Н И Е</vt:lpstr>
    </vt:vector>
  </TitlesOfParts>
  <Company/>
  <LinksUpToDate>false</LinksUpToDate>
  <CharactersWithSpaces>67854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2016-06-16T11:47:00Z</cp:lastPrinted>
  <dcterms:created xsi:type="dcterms:W3CDTF">2016-06-01T04:42:00Z</dcterms:created>
  <dcterms:modified xsi:type="dcterms:W3CDTF">2016-06-16T11:52:00Z</dcterms:modified>
</cp:coreProperties>
</file>