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1B6532">
        <w:rPr>
          <w:rFonts w:ascii="Times New Roman" w:hAnsi="Times New Roman"/>
          <w:b/>
          <w:sz w:val="24"/>
          <w:szCs w:val="24"/>
        </w:rPr>
        <w:t xml:space="preserve"> </w:t>
      </w:r>
      <w:r w:rsidR="0076125E">
        <w:rPr>
          <w:rFonts w:ascii="Times New Roman" w:hAnsi="Times New Roman"/>
          <w:b/>
          <w:sz w:val="24"/>
          <w:szCs w:val="24"/>
        </w:rPr>
        <w:t>30 января</w:t>
      </w:r>
      <w:r w:rsidR="00E31117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31117">
        <w:rPr>
          <w:rFonts w:ascii="Times New Roman" w:hAnsi="Times New Roman"/>
          <w:b/>
          <w:sz w:val="24"/>
          <w:szCs w:val="24"/>
        </w:rPr>
        <w:t>7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="001C0E02">
        <w:rPr>
          <w:rFonts w:ascii="Times New Roman" w:hAnsi="Times New Roman"/>
          <w:b/>
          <w:sz w:val="24"/>
          <w:szCs w:val="24"/>
        </w:rPr>
        <w:t>31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</w:t>
      </w:r>
      <w:r w:rsidR="00351157">
        <w:rPr>
          <w:sz w:val="24"/>
          <w:szCs w:val="24"/>
        </w:rPr>
        <w:t>514,8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351157">
        <w:rPr>
          <w:sz w:val="24"/>
          <w:szCs w:val="24"/>
        </w:rPr>
        <w:t>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>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</w:t>
            </w:r>
            <w:r w:rsidR="00351157">
              <w:rPr>
                <w:rFonts w:ascii="Times New Roman" w:hAnsi="Times New Roman"/>
                <w:sz w:val="24"/>
                <w:szCs w:val="24"/>
              </w:rPr>
              <w:t>514,8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6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351157">
        <w:rPr>
          <w:rFonts w:ascii="Times New Roman" w:hAnsi="Times New Roman"/>
          <w:sz w:val="24"/>
          <w:szCs w:val="24"/>
        </w:rPr>
        <w:t>514,8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>оду-   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50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351157">
        <w:rPr>
          <w:rFonts w:ascii="Times New Roman" w:hAnsi="Times New Roman"/>
          <w:sz w:val="24"/>
          <w:szCs w:val="24"/>
        </w:rPr>
        <w:t>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8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9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0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1109,6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1109,6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796618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796618">
              <w:rPr>
                <w:rFonts w:ascii="Times New Roman" w:hAnsi="Times New Roman"/>
                <w:sz w:val="24"/>
                <w:szCs w:val="24"/>
              </w:rPr>
              <w:t>83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35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32A74" w:rsidP="00ED29FD">
            <w:r>
              <w:t>50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32A74" w:rsidP="00ED29FD">
            <w:r>
              <w:t>50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581F20">
            <w:r>
              <w:t>35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4FA"/>
    <w:rsid w:val="0005504B"/>
    <w:rsid w:val="00080139"/>
    <w:rsid w:val="00085D03"/>
    <w:rsid w:val="0009323E"/>
    <w:rsid w:val="000A325A"/>
    <w:rsid w:val="000A3947"/>
    <w:rsid w:val="000D7A04"/>
    <w:rsid w:val="00133F6C"/>
    <w:rsid w:val="0014287C"/>
    <w:rsid w:val="00152606"/>
    <w:rsid w:val="00185C0C"/>
    <w:rsid w:val="001B6532"/>
    <w:rsid w:val="001C0E02"/>
    <w:rsid w:val="001F1E4C"/>
    <w:rsid w:val="00206CAC"/>
    <w:rsid w:val="00232F40"/>
    <w:rsid w:val="002820E5"/>
    <w:rsid w:val="002853BB"/>
    <w:rsid w:val="00285FB7"/>
    <w:rsid w:val="00301432"/>
    <w:rsid w:val="003044A1"/>
    <w:rsid w:val="00351157"/>
    <w:rsid w:val="003E3423"/>
    <w:rsid w:val="00425A30"/>
    <w:rsid w:val="00462EB4"/>
    <w:rsid w:val="004C18DA"/>
    <w:rsid w:val="004D59DE"/>
    <w:rsid w:val="00505A8E"/>
    <w:rsid w:val="00581F20"/>
    <w:rsid w:val="005B7AE2"/>
    <w:rsid w:val="005D6220"/>
    <w:rsid w:val="005E1638"/>
    <w:rsid w:val="00616DC9"/>
    <w:rsid w:val="006A3DF1"/>
    <w:rsid w:val="006D060C"/>
    <w:rsid w:val="0076125E"/>
    <w:rsid w:val="00763DAA"/>
    <w:rsid w:val="00796618"/>
    <w:rsid w:val="007C29AA"/>
    <w:rsid w:val="007F55A1"/>
    <w:rsid w:val="00827744"/>
    <w:rsid w:val="008401E9"/>
    <w:rsid w:val="00884BCC"/>
    <w:rsid w:val="008E552B"/>
    <w:rsid w:val="00924F26"/>
    <w:rsid w:val="00932A74"/>
    <w:rsid w:val="00956340"/>
    <w:rsid w:val="009811E5"/>
    <w:rsid w:val="009C1B89"/>
    <w:rsid w:val="009C3D0A"/>
    <w:rsid w:val="009D52D8"/>
    <w:rsid w:val="009E2D95"/>
    <w:rsid w:val="00A465BE"/>
    <w:rsid w:val="00A673EE"/>
    <w:rsid w:val="00A76FC4"/>
    <w:rsid w:val="00AC0E44"/>
    <w:rsid w:val="00AF3A9E"/>
    <w:rsid w:val="00AF5E8E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31117"/>
    <w:rsid w:val="00E36AF4"/>
    <w:rsid w:val="00E7773B"/>
    <w:rsid w:val="00E80A6F"/>
    <w:rsid w:val="00EA21EF"/>
    <w:rsid w:val="00EA3DE1"/>
    <w:rsid w:val="00EC04FA"/>
    <w:rsid w:val="00ED29FD"/>
    <w:rsid w:val="00EE6108"/>
    <w:rsid w:val="00F25D92"/>
    <w:rsid w:val="00F273A7"/>
    <w:rsid w:val="00F91354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EB92-5A48-4984-BD22-3E0C1B0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10137</Words>
  <Characters>57783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2016-12-05T13:04:00Z</cp:lastPrinted>
  <dcterms:created xsi:type="dcterms:W3CDTF">2017-01-17T12:49:00Z</dcterms:created>
  <dcterms:modified xsi:type="dcterms:W3CDTF">2017-01-30T08:25:00Z</dcterms:modified>
</cp:coreProperties>
</file>