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AE6A0B">
        <w:rPr>
          <w:rFonts w:asciiTheme="minorHAnsi" w:hAnsiTheme="minorHAnsi"/>
          <w:sz w:val="24"/>
          <w:szCs w:val="24"/>
        </w:rPr>
        <w:t xml:space="preserve"> </w:t>
      </w:r>
      <w:r w:rsidR="00817A52">
        <w:rPr>
          <w:rFonts w:asciiTheme="minorHAnsi" w:hAnsiTheme="minorHAnsi"/>
          <w:sz w:val="24"/>
          <w:szCs w:val="24"/>
        </w:rPr>
        <w:t>13 июня</w:t>
      </w:r>
      <w:r w:rsidR="00857F20">
        <w:rPr>
          <w:rFonts w:asciiTheme="minorHAnsi" w:hAnsiTheme="minorHAnsi"/>
          <w:sz w:val="24"/>
          <w:szCs w:val="24"/>
        </w:rPr>
        <w:t xml:space="preserve"> 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817A52">
        <w:rPr>
          <w:rFonts w:asciiTheme="minorHAnsi" w:hAnsiTheme="minorHAnsi"/>
          <w:sz w:val="24"/>
          <w:szCs w:val="24"/>
        </w:rPr>
        <w:t>111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857F20">
        <w:rPr>
          <w:rFonts w:asciiTheme="minorHAnsi" w:hAnsiTheme="minorHAnsi" w:cs="Times New Roman"/>
          <w:sz w:val="24"/>
          <w:szCs w:val="24"/>
        </w:rPr>
        <w:t>7734,5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857F20">
        <w:rPr>
          <w:rFonts w:asciiTheme="minorHAnsi" w:hAnsiTheme="minorHAnsi" w:cs="Times New Roman"/>
          <w:sz w:val="24"/>
          <w:szCs w:val="24"/>
        </w:rPr>
        <w:t>4905,7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5C231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4905,7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5D5F87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4905,7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E21425">
        <w:pPr>
          <w:pStyle w:val="a7"/>
        </w:pPr>
        <w:fldSimple w:instr=" PAGE   \* MERGEFORMAT ">
          <w:r w:rsidR="00817A52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A52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1425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C427-C693-4AC7-A9AF-EFB430B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25</cp:revision>
  <cp:lastPrinted>2018-02-19T12:35:00Z</cp:lastPrinted>
  <dcterms:created xsi:type="dcterms:W3CDTF">2017-12-12T06:52:00Z</dcterms:created>
  <dcterms:modified xsi:type="dcterms:W3CDTF">2018-06-13T05:36:00Z</dcterms:modified>
</cp:coreProperties>
</file>