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0" w:rsidRDefault="00A635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для органов государственной власти субъектов Российской Федерации и орга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нов местного самоуправления по порядку работы с функционалом государственной информационной системы ведения </w:t>
      </w:r>
      <w:r w:rsidR="004632AB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диной электронной картографической основы </w:t>
      </w:r>
      <w:r>
        <w:rPr>
          <w:rFonts w:ascii="Times New Roman" w:hAnsi="Times New Roman"/>
          <w:b/>
          <w:bCs/>
          <w:sz w:val="28"/>
          <w:szCs w:val="28"/>
        </w:rPr>
        <w:br/>
        <w:t>(</w:t>
      </w:r>
      <w:r w:rsidR="0045307A">
        <w:rPr>
          <w:rFonts w:ascii="Times New Roman" w:hAnsi="Times New Roman"/>
          <w:b/>
          <w:bCs/>
          <w:sz w:val="28"/>
          <w:szCs w:val="28"/>
        </w:rPr>
        <w:t xml:space="preserve">далее – </w:t>
      </w:r>
      <w:r>
        <w:rPr>
          <w:rFonts w:ascii="Times New Roman" w:hAnsi="Times New Roman"/>
          <w:b/>
          <w:bCs/>
          <w:sz w:val="28"/>
          <w:szCs w:val="28"/>
        </w:rPr>
        <w:t>ГИС ЕЭКО</w:t>
      </w:r>
      <w:r w:rsidR="0045307A">
        <w:rPr>
          <w:rFonts w:ascii="Times New Roman" w:hAnsi="Times New Roman"/>
          <w:b/>
          <w:bCs/>
          <w:sz w:val="28"/>
          <w:szCs w:val="28"/>
        </w:rPr>
        <w:t>, ЕЭКО</w:t>
      </w:r>
      <w:r>
        <w:rPr>
          <w:rFonts w:ascii="Times New Roman" w:hAnsi="Times New Roman"/>
          <w:b/>
          <w:bCs/>
          <w:sz w:val="28"/>
          <w:szCs w:val="28"/>
        </w:rPr>
        <w:t xml:space="preserve">) при использовании картографических </w:t>
      </w:r>
      <w:r w:rsidR="0045307A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веб-сервисов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сведений ЕЭКО</w:t>
      </w:r>
    </w:p>
    <w:p w:rsidR="002610B0" w:rsidRDefault="00A635AC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DE376A" w:rsidRDefault="00DE376A" w:rsidP="00A679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76A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направлены на оказание содействия и методического обеспечения работы с функционалом ГИС ЕЭКО при использовании картографических сведений ЕЭКО в виде наборов данных и картографических </w:t>
      </w:r>
      <w:proofErr w:type="spellStart"/>
      <w:r w:rsidRPr="00DE376A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DE376A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Федерации и органами местного самоуправления, </w:t>
      </w:r>
      <w:r w:rsidR="00DB25A1">
        <w:rPr>
          <w:rFonts w:ascii="Times New Roman" w:eastAsia="Times New Roman" w:hAnsi="Times New Roman" w:cs="Times New Roman"/>
          <w:sz w:val="28"/>
          <w:szCs w:val="28"/>
        </w:rPr>
        <w:br/>
      </w:r>
      <w:r w:rsidRPr="00DE376A">
        <w:rPr>
          <w:rFonts w:ascii="Times New Roman" w:eastAsia="Times New Roman" w:hAnsi="Times New Roman" w:cs="Times New Roman"/>
          <w:sz w:val="28"/>
          <w:szCs w:val="28"/>
        </w:rPr>
        <w:t>а также описывают необходимые условия для их подключения.</w:t>
      </w:r>
    </w:p>
    <w:p w:rsidR="002610B0" w:rsidRDefault="00A63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заинтересованным лицам сведений ЕЭКО осуществляется в соответствии со следующими нормативно-правовыми актами:</w:t>
      </w:r>
    </w:p>
    <w:p w:rsidR="002610B0" w:rsidRDefault="00A635AC" w:rsidP="004632AB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2610B0" w:rsidRDefault="00A635AC" w:rsidP="004632AB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15.12.2016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1370 «Об утверждении Правил предоставления заинтересованным лицам сведений единой электронной картографической основы» (далее – Правила </w:t>
      </w:r>
      <w:r w:rsidR="00896E0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1370);</w:t>
      </w:r>
    </w:p>
    <w:p w:rsidR="002610B0" w:rsidRDefault="00A635AC" w:rsidP="004632AB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15.12.2016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1371 «Об утверждении Правил определения размера платы за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использование сведений единой электронной картографической основы» (далее – Правила № 1371);</w:t>
      </w:r>
    </w:p>
    <w:p w:rsidR="002610B0" w:rsidRDefault="00A635AC" w:rsidP="004632AB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Федеральной службы государственной регистрации, кадастра и картографии от 22 апреля 2019 г. № 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/0160 «О наделении федерального государственного бюджетного учреждения «Федеральный научно-технический центр геодезии, картографии и инфраструктуры пространственных данных» полномочиями по созданию и обновлению единой электронной картографической основы, обеспечению мониторинга актуальности единой электронной картографической основы, а также правомочиями обладателя сведений единой электронной картографической основы».</w:t>
      </w:r>
    </w:p>
    <w:p w:rsidR="002610B0" w:rsidRDefault="002610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 w:rsidP="004632AB">
      <w:pPr>
        <w:pStyle w:val="a6"/>
        <w:numPr>
          <w:ilvl w:val="0"/>
          <w:numId w:val="5"/>
        </w:numPr>
        <w:spacing w:line="276" w:lineRule="auto"/>
        <w:ind w:left="0"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получения картографических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веб-сервисов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ЕЭКО органами государственной власти субъектов Российской Федерации и органами местного самоуправления.</w:t>
      </w:r>
    </w:p>
    <w:p w:rsidR="002610B0" w:rsidRDefault="00A635AC" w:rsidP="00E4607A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Посредством системы межведомственного электронного взаимодействия (далее – СМЭВ) или государственной информационной системы федеральный портал пространственных данных (далее – ГИС ФППД</w:t>
      </w:r>
      <w:r w:rsidR="0045307A">
        <w:rPr>
          <w:rFonts w:ascii="Times New Roman" w:hAnsi="Times New Roman"/>
          <w:sz w:val="28"/>
          <w:szCs w:val="28"/>
        </w:rPr>
        <w:t>, ФППД</w:t>
      </w:r>
      <w:r>
        <w:rPr>
          <w:rFonts w:ascii="Times New Roman" w:hAnsi="Times New Roman"/>
          <w:sz w:val="28"/>
          <w:szCs w:val="28"/>
        </w:rPr>
        <w:t>) (при условии отсутствия технической возможности подключения</w:t>
      </w:r>
      <w:r w:rsidR="004530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СМЭВ)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 государственной власти субъектов Российской Федерации </w:t>
      </w:r>
      <w:r w:rsidR="004530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органы местного самоуправления в целях получения сведений ЕЭКО направляют Оператору ЕЭКО соответствующее заявление о предоставлении сведений ЕЭКО в порядке, установленном Правилами № 1370.</w:t>
      </w:r>
      <w:proofErr w:type="gramEnd"/>
    </w:p>
    <w:p w:rsidR="002610B0" w:rsidRDefault="00A635AC" w:rsidP="00E4607A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№ 1370 предусмотрено, что заявление подписывается заявителем с использованием усиленной квалифицированной электронной подписи, а также в случае подписания заявления лицом, действующим от имени заявителя по доверенности, к заявлению прилагается копия документа, подтверждающего полномочия такого лица.</w:t>
      </w:r>
    </w:p>
    <w:p w:rsidR="002610B0" w:rsidRDefault="00A635AC" w:rsidP="00E4607A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Правилами № 1371 определения размера платы за использование сведений ЕЭКО органам государственной власти субъектов Российской Федерации и органам местного самоуправления сведения ЕЭКО предоставляются без взимания платы.</w:t>
      </w:r>
    </w:p>
    <w:p w:rsidR="002610B0" w:rsidRDefault="00A635AC" w:rsidP="00E4607A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атрибутивном составе заявления о предоставлении сведений ЕЭКО необходимо указать следующую информацию: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в отношении которой запрашиваются сведения ЕЭКО;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сведений ЕЭКО;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координат, в которой необходимо предоставить сведения ЕЭКО;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предоставления сведений ЕЭКО;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использования сведений ЕЭКО;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предоставлены сведения ЕЭКО (в случае предоставления ЕЭКО в виде наборов данных);</w:t>
      </w:r>
    </w:p>
    <w:p w:rsidR="002610B0" w:rsidRDefault="000D3764" w:rsidP="00E4607A">
      <w:pPr>
        <w:pStyle w:val="a6"/>
        <w:numPr>
          <w:ilvl w:val="0"/>
          <w:numId w:val="7"/>
        </w:numPr>
        <w:tabs>
          <w:tab w:val="clear" w:pos="1416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35AC">
        <w:rPr>
          <w:rFonts w:ascii="Times New Roman" w:hAnsi="Times New Roman"/>
          <w:sz w:val="28"/>
          <w:szCs w:val="28"/>
        </w:rPr>
        <w:t>сведения о заявителе;</w:t>
      </w:r>
    </w:p>
    <w:p w:rsidR="002610B0" w:rsidRDefault="00A635AC" w:rsidP="00E4607A">
      <w:pPr>
        <w:pStyle w:val="a6"/>
        <w:numPr>
          <w:ilvl w:val="0"/>
          <w:numId w:val="7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сведений картографической основы.</w:t>
      </w:r>
    </w:p>
    <w:p w:rsidR="002610B0" w:rsidRDefault="00A635AC" w:rsidP="00E4607A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ЕЭКО предоставляются в государственных системах координат, местных системах координат (принятых для ведения Единого государственного реестра недвижимости), а также в международных системах координат, в виде:</w:t>
      </w:r>
    </w:p>
    <w:p w:rsidR="002610B0" w:rsidRDefault="00A635AC" w:rsidP="00E4607A">
      <w:pPr>
        <w:pStyle w:val="a6"/>
        <w:numPr>
          <w:ilvl w:val="0"/>
          <w:numId w:val="9"/>
        </w:numPr>
        <w:tabs>
          <w:tab w:val="clear" w:pos="1416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ортофотопланов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sz w:val="28"/>
          <w:szCs w:val="28"/>
        </w:rPr>
        <w:t>ортофотокарт</w:t>
      </w:r>
      <w:proofErr w:type="spellEnd"/>
      <w:r>
        <w:rPr>
          <w:rFonts w:ascii="Times New Roman" w:hAnsi="Times New Roman"/>
          <w:sz w:val="28"/>
          <w:szCs w:val="28"/>
        </w:rPr>
        <w:t xml:space="preserve"> масштабов от 1:2000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hAnsi="Times New Roman"/>
          <w:sz w:val="28"/>
          <w:szCs w:val="28"/>
        </w:rPr>
        <w:t>1:50 000;</w:t>
      </w:r>
    </w:p>
    <w:p w:rsidR="002610B0" w:rsidRDefault="00A635AC" w:rsidP="000D3764">
      <w:pPr>
        <w:pStyle w:val="a6"/>
        <w:numPr>
          <w:ilvl w:val="0"/>
          <w:numId w:val="9"/>
        </w:numPr>
        <w:tabs>
          <w:tab w:val="clear" w:pos="1416"/>
          <w:tab w:val="num" w:pos="993"/>
        </w:tabs>
        <w:spacing w:after="0" w:line="276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цифровых топографических карт и планов открытого пользования масштабов от 1:2000 до 1:1 000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10B0" w:rsidRDefault="00A635AC" w:rsidP="000D3764">
      <w:pPr>
        <w:pStyle w:val="a6"/>
        <w:numPr>
          <w:ilvl w:val="0"/>
          <w:numId w:val="9"/>
        </w:numPr>
        <w:tabs>
          <w:tab w:val="clear" w:pos="1416"/>
          <w:tab w:val="num" w:pos="993"/>
        </w:tabs>
        <w:spacing w:after="0" w:line="276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общегеографической карты масштаба 1:2</w:t>
      </w:r>
      <w:r w:rsidR="00453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="00453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000;</w:t>
      </w:r>
    </w:p>
    <w:p w:rsidR="002610B0" w:rsidRDefault="00A635AC" w:rsidP="000D3764">
      <w:pPr>
        <w:pStyle w:val="a6"/>
        <w:numPr>
          <w:ilvl w:val="0"/>
          <w:numId w:val="9"/>
        </w:numPr>
        <w:tabs>
          <w:tab w:val="clear" w:pos="1416"/>
          <w:tab w:val="num" w:pos="993"/>
        </w:tabs>
        <w:spacing w:after="0" w:line="276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пространственных данных, содержащихся в государственных цифровых топографических картах открытого пользования и цифровых топографических планах открытого пользования, сгруппированных по определенной теме.</w:t>
      </w:r>
    </w:p>
    <w:p w:rsidR="002610B0" w:rsidRDefault="00A635AC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картографического </w:t>
      </w:r>
      <w:proofErr w:type="spellStart"/>
      <w:r>
        <w:rPr>
          <w:rFonts w:ascii="Times New Roman" w:hAnsi="Times New Roman"/>
          <w:sz w:val="28"/>
          <w:szCs w:val="28"/>
        </w:rPr>
        <w:t>веб-сервиса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сведения ЕЭКО предоставляются по протоколам WFS, WMTS, TMS.</w:t>
      </w:r>
    </w:p>
    <w:p w:rsidR="002610B0" w:rsidRDefault="00A635AC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направления заявления о предоставлении сведений ЕЭКО посредством СМЭВ органам государственной власти субъектов Российской Федерации и органам местного самоуправления необходимо обеспечить подключение информационной системы к соответствующему виду сведений, информация о котором размещена на технологическом </w:t>
      </w:r>
      <w:r>
        <w:rPr>
          <w:rFonts w:ascii="Times New Roman" w:hAnsi="Times New Roman"/>
          <w:sz w:val="28"/>
          <w:szCs w:val="28"/>
        </w:rPr>
        <w:br/>
        <w:t>портале СМЭВ в разделе «Виды сведений федерального уровня» (</w:t>
      </w:r>
      <w:r>
        <w:rPr>
          <w:rFonts w:ascii="Times New Roman" w:hAnsi="Times New Roman"/>
          <w:sz w:val="28"/>
          <w:szCs w:val="28"/>
          <w:u w:val="single"/>
        </w:rPr>
        <w:t>https://smev3.gosuslugi.ru/portal/inquirytype_one.jsp?id=226200&amp;zone=fed&amp;page=1&amp;dTest=false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610B0" w:rsidRDefault="00A635AC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технической возможности использования СМЭВ органы государственной власти субъектов Российской Федерации и органы местного самоуправления имеют возможность направить заявление и получить сведения ЕЭКО посредством личного кабинета на ФППД (</w:t>
      </w:r>
      <w:r>
        <w:rPr>
          <w:rFonts w:ascii="Times New Roman" w:hAnsi="Times New Roman"/>
          <w:sz w:val="28"/>
          <w:szCs w:val="28"/>
          <w:u w:val="single"/>
        </w:rPr>
        <w:t>https://portal.fppd.cgkipd.ru/main</w:t>
      </w:r>
      <w:r>
        <w:rPr>
          <w:rFonts w:ascii="Times New Roman" w:hAnsi="Times New Roman"/>
          <w:sz w:val="28"/>
          <w:szCs w:val="28"/>
        </w:rPr>
        <w:t>).</w:t>
      </w:r>
    </w:p>
    <w:p w:rsidR="002610B0" w:rsidRDefault="00A635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в личном кабинете ФППД необходимо установить защищенное соединение, а также создать профиль (учетную запись) органа государственной власти субъекта Российской Федерации или органа местного самоуправления. </w:t>
      </w:r>
    </w:p>
    <w:p w:rsidR="002610B0" w:rsidRDefault="00A635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установке защищенного соединения по подключению пользователей к ГИС ФППД и созданию учетных записей размещены 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ФППД, раздел «Инструкции» (</w:t>
      </w:r>
      <w:r>
        <w:rPr>
          <w:rFonts w:ascii="Times New Roman" w:hAnsi="Times New Roman"/>
          <w:sz w:val="28"/>
          <w:szCs w:val="28"/>
          <w:u w:val="single"/>
        </w:rPr>
        <w:t>https://portal.fppd.cgkipd.ru/glavnaia/instruktsii</w:t>
      </w:r>
      <w:r>
        <w:rPr>
          <w:rFonts w:ascii="Times New Roman" w:hAnsi="Times New Roman"/>
          <w:sz w:val="28"/>
          <w:szCs w:val="28"/>
        </w:rPr>
        <w:t>).</w:t>
      </w:r>
    </w:p>
    <w:p w:rsidR="002610B0" w:rsidRDefault="00A635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поступивших заявлений Оператор ЕЭКО обеспечивает органам государственной власти субъектов Российской Федерации и органам местного самоуправления предоставление сведений ЕЭКО в порядке и способами, установленными Правилами № 1370.</w:t>
      </w:r>
    </w:p>
    <w:p w:rsidR="002610B0" w:rsidRDefault="00A635AC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Использование органами государственной власти субъектов Российской Федерации и органами местного самоуправления сведений ЕЭКО, опубликованных на картографических </w:t>
      </w:r>
      <w:proofErr w:type="spellStart"/>
      <w:r>
        <w:rPr>
          <w:rFonts w:ascii="Times New Roman" w:hAnsi="Times New Roman"/>
          <w:sz w:val="28"/>
          <w:szCs w:val="28"/>
        </w:rPr>
        <w:t>веб-сервисах</w:t>
      </w:r>
      <w:proofErr w:type="spellEnd"/>
      <w:r>
        <w:rPr>
          <w:rFonts w:ascii="Times New Roman" w:hAnsi="Times New Roman"/>
          <w:sz w:val="28"/>
          <w:szCs w:val="28"/>
        </w:rPr>
        <w:t>, осуществляются на</w:t>
      </w:r>
      <w:r>
        <w:t> </w:t>
      </w:r>
      <w:r>
        <w:rPr>
          <w:rFonts w:ascii="Times New Roman" w:hAnsi="Times New Roman"/>
          <w:sz w:val="28"/>
          <w:szCs w:val="28"/>
        </w:rPr>
        <w:t>условиях и в сроки согласно данным в заявлении о предоставлении сведений ЕЭКО.</w:t>
      </w:r>
      <w:proofErr w:type="gramEnd"/>
    </w:p>
    <w:p w:rsidR="002610B0" w:rsidRDefault="00A635AC">
      <w:pPr>
        <w:pStyle w:val="a6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доступа к </w:t>
      </w:r>
      <w:proofErr w:type="gramStart"/>
      <w:r>
        <w:rPr>
          <w:rFonts w:ascii="Times New Roman" w:hAnsi="Times New Roman"/>
          <w:sz w:val="28"/>
          <w:szCs w:val="28"/>
        </w:rPr>
        <w:t>картографическому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веб-сервису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24 часа 7 дней в неделю, за исключением профилактических работ, аварий или сбоев в программно-аппаратных комплексах. Наполнение </w:t>
      </w:r>
      <w:proofErr w:type="spellStart"/>
      <w:r>
        <w:rPr>
          <w:rFonts w:ascii="Times New Roman" w:hAnsi="Times New Roman"/>
          <w:sz w:val="28"/>
          <w:szCs w:val="28"/>
        </w:rPr>
        <w:t>кэша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тайлами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происходит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обращении к </w:t>
      </w:r>
      <w:proofErr w:type="spellStart"/>
      <w:r>
        <w:rPr>
          <w:rFonts w:ascii="Times New Roman" w:hAnsi="Times New Roman"/>
          <w:sz w:val="28"/>
          <w:szCs w:val="28"/>
        </w:rPr>
        <w:t>веб-сервису</w:t>
      </w:r>
      <w:proofErr w:type="spellEnd"/>
      <w:r>
        <w:rPr>
          <w:rFonts w:ascii="Times New Roman" w:hAnsi="Times New Roman"/>
          <w:sz w:val="28"/>
          <w:szCs w:val="28"/>
        </w:rPr>
        <w:t>, вследствие чего первые запросы на получение картографического изображения (</w:t>
      </w:r>
      <w:proofErr w:type="spellStart"/>
      <w:r>
        <w:rPr>
          <w:rFonts w:ascii="Times New Roman" w:hAnsi="Times New Roman"/>
          <w:sz w:val="28"/>
          <w:szCs w:val="28"/>
        </w:rPr>
        <w:t>ортофотопокрытия</w:t>
      </w:r>
      <w:proofErr w:type="spellEnd"/>
      <w:r>
        <w:rPr>
          <w:rFonts w:ascii="Times New Roman" w:hAnsi="Times New Roman"/>
          <w:sz w:val="28"/>
          <w:szCs w:val="28"/>
        </w:rPr>
        <w:t xml:space="preserve">) обрабатываются дольше, чем все последующие запросы к </w:t>
      </w:r>
      <w:proofErr w:type="spellStart"/>
      <w:r>
        <w:rPr>
          <w:rFonts w:ascii="Times New Roman" w:hAnsi="Times New Roman"/>
          <w:sz w:val="28"/>
          <w:szCs w:val="28"/>
        </w:rPr>
        <w:t>тайлам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ту же территорию.</w:t>
      </w:r>
    </w:p>
    <w:p w:rsidR="002610B0" w:rsidRDefault="002610B0">
      <w:pPr>
        <w:pStyle w:val="a6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 w:rsidP="000D3764">
      <w:pPr>
        <w:pStyle w:val="a6"/>
        <w:numPr>
          <w:ilvl w:val="0"/>
          <w:numId w:val="10"/>
        </w:numPr>
        <w:spacing w:after="0" w:line="276" w:lineRule="auto"/>
        <w:ind w:left="0"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требований и порядка (инструкции) подключения к информационным системам сервиса, публикующего сведения ЕЭКО.</w:t>
      </w:r>
    </w:p>
    <w:p w:rsidR="002610B0" w:rsidRDefault="00A63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ЕЭКО в виде </w:t>
      </w:r>
      <w:proofErr w:type="gramStart"/>
      <w:r>
        <w:rPr>
          <w:rFonts w:ascii="Times New Roman" w:hAnsi="Times New Roman"/>
          <w:sz w:val="28"/>
          <w:szCs w:val="28"/>
        </w:rPr>
        <w:t>картографических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веб-сервисов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предоставляются по стандартным протоколам WFS, WMTS, TMS. Описание сервисов регулируется международной некоммерческой организацией </w:t>
      </w:r>
      <w:proofErr w:type="spellStart"/>
      <w:r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Geospatial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Consortium</w:t>
      </w:r>
      <w:proofErr w:type="spellEnd"/>
      <w:r>
        <w:rPr>
          <w:rFonts w:ascii="Times New Roman" w:hAnsi="Times New Roman"/>
          <w:sz w:val="28"/>
          <w:szCs w:val="28"/>
        </w:rPr>
        <w:t xml:space="preserve"> (OGC), ведущей деятельность по разработке стандартов в сфере </w:t>
      </w:r>
      <w:proofErr w:type="spellStart"/>
      <w:r>
        <w:rPr>
          <w:rFonts w:ascii="Times New Roman" w:hAnsi="Times New Roman"/>
          <w:sz w:val="28"/>
          <w:szCs w:val="28"/>
        </w:rPr>
        <w:t>геопространственных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и сервисов (</w:t>
      </w:r>
      <w:hyperlink r:id="rId7" w:history="1">
        <w:r>
          <w:rPr>
            <w:rStyle w:val="Hyperlink0"/>
            <w:rFonts w:eastAsia="Arial Unicode MS"/>
          </w:rPr>
          <w:t>https://www.ogc.org/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векторных данных в формате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Feature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Service</w:t>
      </w:r>
      <w:proofErr w:type="spellEnd"/>
      <w:r>
        <w:rPr>
          <w:rFonts w:ascii="Times New Roman" w:hAnsi="Times New Roman"/>
          <w:sz w:val="28"/>
          <w:szCs w:val="28"/>
        </w:rPr>
        <w:t xml:space="preserve"> (WFS) используется для получения и редактирования векторных пространственных данных, без оформления в условные знаки. Вид ссылки на WFS сервис </w:t>
      </w:r>
      <w:hyperlink r:id="rId8" w:history="1">
        <w:r>
          <w:rPr>
            <w:rStyle w:val="Hyperlink1"/>
            <w:rFonts w:eastAsia="Arial Unicode MS"/>
          </w:rPr>
          <w:t>http://ngw.eeko.cgkipd.ru/api/resource/112233/wfs</w:t>
        </w:r>
      </w:hyperlink>
      <w:r>
        <w:rPr>
          <w:rStyle w:val="a8"/>
          <w:rFonts w:ascii="Times New Roman" w:hAnsi="Times New Roman"/>
          <w:sz w:val="28"/>
          <w:szCs w:val="28"/>
        </w:rPr>
        <w:t xml:space="preserve">, дополнительно предоставляются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авторизационные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данные для подключения (логин</w:t>
      </w:r>
      <w:r>
        <w:rPr>
          <w:rStyle w:val="a8"/>
          <w:rFonts w:ascii="Times New Roman" w:hAnsi="Times New Roman"/>
          <w:sz w:val="28"/>
          <w:szCs w:val="28"/>
        </w:rPr>
        <w:br/>
        <w:t>и пароль).</w:t>
      </w: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Сервисы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Web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Map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Tile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Service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(WMTS) и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Tile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Map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Service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(TMS) используются публикации в сети сведений ЕЭКО с использованием заранее сгенерированных фрагментов изображений. Данные типы сервисов используются для передачи изображений карт и материалов ДЗЗ (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ортофотопланы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) на большие территории в сети Интернет с помощью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тайлов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Тайлы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– это растровые изображения, которые представляет информацию</w:t>
      </w:r>
      <w:r>
        <w:rPr>
          <w:rStyle w:val="a8"/>
          <w:rFonts w:ascii="Times New Roman" w:hAnsi="Times New Roman"/>
          <w:sz w:val="28"/>
          <w:szCs w:val="28"/>
        </w:rPr>
        <w:br/>
        <w:t xml:space="preserve">о пространственных объектах исключительно визуальным способом. </w:t>
      </w: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Вид ссылки на TMS сервис </w:t>
      </w:r>
      <w:hyperlink r:id="rId9" w:history="1">
        <w:r>
          <w:rPr>
            <w:rStyle w:val="Hyperlink1"/>
            <w:rFonts w:eastAsia="Arial Unicode MS"/>
          </w:rPr>
          <w:t>https://tiles.eeko.cgkipd.ru/tile/24/{z}/{x}/{y}.png</w:t>
        </w:r>
      </w:hyperlink>
      <w:r>
        <w:rPr>
          <w:rStyle w:val="a8"/>
          <w:rFonts w:ascii="Times New Roman" w:hAnsi="Times New Roman"/>
          <w:sz w:val="28"/>
          <w:szCs w:val="28"/>
        </w:rPr>
        <w:t xml:space="preserve">? apikey=c37…..75e, в первой части которой описан адрес сервиса и вид запроса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тайлов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, а во второй части указан уникальный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apikey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доступа к сервису.</w:t>
      </w: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Вид ссылки на WMTS сервис </w:t>
      </w:r>
      <w:hyperlink r:id="rId10" w:history="1">
        <w:r>
          <w:rPr>
            <w:rStyle w:val="Hyperlink1"/>
            <w:rFonts w:eastAsia="Arial Unicode MS"/>
          </w:rPr>
          <w:t>https://tiles.eeko.prod/wmts/29/ba4........07b/ 1.0.0/</w:t>
        </w:r>
        <w:proofErr w:type="spellStart"/>
        <w:r>
          <w:rPr>
            <w:rStyle w:val="Hyperlink1"/>
            <w:rFonts w:eastAsia="Arial Unicode MS"/>
          </w:rPr>
          <w:t>WMTSCapabilities.xml</w:t>
        </w:r>
        <w:proofErr w:type="spellEnd"/>
      </w:hyperlink>
      <w:r>
        <w:rPr>
          <w:rStyle w:val="a8"/>
          <w:rFonts w:ascii="Times New Roman" w:hAnsi="Times New Roman"/>
          <w:sz w:val="28"/>
          <w:szCs w:val="28"/>
        </w:rPr>
        <w:t>, в которой описан адрес сервиса, версия протокола и уникальный идентификатор доступа к сервису.</w:t>
      </w: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Сведения ЕЭКО в виде картографического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веб-сервиса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предоставляются в виде ссылки в личном кабинете ФППД/посредством направления через СМЭВ.</w:t>
      </w:r>
    </w:p>
    <w:p w:rsidR="00E4607A" w:rsidRDefault="00E4607A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6B665B" w:rsidRDefault="006B665B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6B665B" w:rsidRDefault="006B665B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Подключение картографического сервиса по протоколу </w:t>
      </w:r>
      <w:r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t>TMS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t>Qgis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</w:rPr>
        <w:t>:</w:t>
      </w:r>
    </w:p>
    <w:p w:rsidR="002610B0" w:rsidRDefault="00A635A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 составе документов по заявлению представлена ссылка на сервис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TMS</w:t>
      </w:r>
      <w:r>
        <w:rPr>
          <w:rStyle w:val="a8"/>
          <w:rFonts w:ascii="Times New Roman" w:hAnsi="Times New Roman"/>
          <w:sz w:val="28"/>
          <w:szCs w:val="28"/>
        </w:rPr>
        <w:t>;</w:t>
      </w:r>
    </w:p>
    <w:p w:rsidR="002610B0" w:rsidRDefault="00A635A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-79375</wp:posOffset>
            </wp:positionH>
            <wp:positionV relativeFrom="line">
              <wp:posOffset>401954</wp:posOffset>
            </wp:positionV>
            <wp:extent cx="6407945" cy="495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0" descr="Рисунок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945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8"/>
          <w:rFonts w:ascii="Times New Roman" w:hAnsi="Times New Roman"/>
          <w:sz w:val="28"/>
          <w:szCs w:val="28"/>
        </w:rPr>
        <w:t>Копируем ссылку в буфер обмена (рисунок 1);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Рисунок 1 – ссылка для буфера обмена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Открываем </w:t>
      </w:r>
      <w:proofErr w:type="spellStart"/>
      <w:r>
        <w:rPr>
          <w:rStyle w:val="a8"/>
          <w:rFonts w:ascii="Times New Roman" w:hAnsi="Times New Roman"/>
          <w:sz w:val="28"/>
          <w:szCs w:val="28"/>
          <w:lang w:val="en-US"/>
        </w:rPr>
        <w:t>Qgis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. </w:t>
      </w:r>
    </w:p>
    <w:p w:rsidR="002610B0" w:rsidRDefault="00A635A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Нажимаем на пустое пространство панели инструментов и выбираем «</w:t>
      </w:r>
      <w:r>
        <w:rPr>
          <w:rStyle w:val="a8"/>
          <w:rFonts w:ascii="Times New Roman" w:hAnsi="Times New Roman"/>
          <w:sz w:val="28"/>
          <w:szCs w:val="28"/>
          <w:lang w:val="en-US"/>
        </w:rPr>
        <w:t>Browser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Panel</w:t>
      </w:r>
      <w:r>
        <w:rPr>
          <w:rStyle w:val="a8"/>
          <w:rFonts w:ascii="Times New Roman" w:hAnsi="Times New Roman"/>
          <w:sz w:val="28"/>
          <w:szCs w:val="28"/>
        </w:rPr>
        <w:t>» (рисунок 2);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line">
              <wp:posOffset>92710</wp:posOffset>
            </wp:positionV>
            <wp:extent cx="4722496" cy="5232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19" descr="Рисунок 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496" cy="52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2 –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Browser</w:t>
      </w:r>
      <w:r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Panel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Находим пункт «</w:t>
      </w:r>
      <w:r>
        <w:rPr>
          <w:rStyle w:val="a8"/>
          <w:rFonts w:ascii="Times New Roman" w:hAnsi="Times New Roman"/>
          <w:sz w:val="28"/>
          <w:szCs w:val="28"/>
          <w:lang w:val="en-US"/>
        </w:rPr>
        <w:t>Tile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Server</w:t>
      </w:r>
      <w:r>
        <w:rPr>
          <w:rStyle w:val="a8"/>
          <w:rFonts w:ascii="Times New Roman" w:hAnsi="Times New Roman"/>
          <w:sz w:val="28"/>
          <w:szCs w:val="28"/>
        </w:rPr>
        <w:t>(</w:t>
      </w:r>
      <w:r>
        <w:rPr>
          <w:rStyle w:val="a8"/>
          <w:rFonts w:ascii="Times New Roman" w:hAnsi="Times New Roman"/>
          <w:sz w:val="28"/>
          <w:szCs w:val="28"/>
          <w:lang w:val="en-US"/>
        </w:rPr>
        <w:t>XYZ</w:t>
      </w:r>
      <w:r>
        <w:rPr>
          <w:rStyle w:val="a8"/>
          <w:rFonts w:ascii="Times New Roman" w:hAnsi="Times New Roman"/>
          <w:sz w:val="28"/>
          <w:szCs w:val="28"/>
        </w:rPr>
        <w:t>)» (рисунок 3);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394743</wp:posOffset>
            </wp:positionH>
            <wp:positionV relativeFrom="line">
              <wp:posOffset>165887</wp:posOffset>
            </wp:positionV>
            <wp:extent cx="1514475" cy="1600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18" descr="Рисунок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spacing w:after="0" w:line="276" w:lineRule="auto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3 –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Tile</w:t>
      </w:r>
      <w:r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Server</w:t>
      </w:r>
      <w:r>
        <w:rPr>
          <w:rStyle w:val="a8"/>
          <w:rFonts w:ascii="Times New Roman" w:hAnsi="Times New Roman"/>
          <w:sz w:val="20"/>
          <w:szCs w:val="20"/>
        </w:rPr>
        <w:t>(</w:t>
      </w:r>
      <w:r>
        <w:rPr>
          <w:rStyle w:val="a8"/>
          <w:rFonts w:ascii="Times New Roman" w:hAnsi="Times New Roman"/>
          <w:sz w:val="20"/>
          <w:szCs w:val="20"/>
          <w:lang w:val="en-US"/>
        </w:rPr>
        <w:t>XYZ</w:t>
      </w:r>
      <w:r>
        <w:rPr>
          <w:rStyle w:val="a8"/>
          <w:rFonts w:ascii="Times New Roman" w:hAnsi="Times New Roman"/>
          <w:sz w:val="20"/>
          <w:szCs w:val="20"/>
        </w:rPr>
        <w:t>)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Нажимаем по пункту правой кнопкой мышки и выбираем «</w:t>
      </w:r>
      <w:r>
        <w:rPr>
          <w:rStyle w:val="a8"/>
          <w:rFonts w:ascii="Times New Roman" w:hAnsi="Times New Roman"/>
          <w:sz w:val="28"/>
          <w:szCs w:val="28"/>
          <w:lang w:val="en-US"/>
        </w:rPr>
        <w:t>New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Connection</w:t>
      </w:r>
      <w:r>
        <w:rPr>
          <w:rStyle w:val="a8"/>
          <w:rFonts w:ascii="Times New Roman" w:hAnsi="Times New Roman"/>
          <w:sz w:val="28"/>
          <w:szCs w:val="28"/>
        </w:rPr>
        <w:t>» (рисунок 4);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1687195</wp:posOffset>
            </wp:positionH>
            <wp:positionV relativeFrom="line">
              <wp:posOffset>208279</wp:posOffset>
            </wp:positionV>
            <wp:extent cx="2638425" cy="7905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17" descr="Рисунок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4 –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New</w:t>
      </w:r>
      <w:r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Connection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 w:rsidP="00E4607A">
      <w:pPr>
        <w:spacing w:after="0" w:line="276" w:lineRule="auto"/>
        <w:ind w:firstLine="397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lastRenderedPageBreak/>
        <w:t>7) Вставляем полученную ссылку в окно и задаем ей имя в следующем окне «</w:t>
      </w:r>
      <w:r>
        <w:rPr>
          <w:rStyle w:val="a8"/>
          <w:rFonts w:ascii="Times New Roman" w:hAnsi="Times New Roman"/>
          <w:sz w:val="28"/>
          <w:szCs w:val="28"/>
          <w:lang w:val="en-US"/>
        </w:rPr>
        <w:t>New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XYZ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tile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layer</w:t>
      </w:r>
      <w:r>
        <w:rPr>
          <w:rStyle w:val="a8"/>
          <w:rFonts w:ascii="Times New Roman" w:hAnsi="Times New Roman"/>
          <w:sz w:val="28"/>
          <w:szCs w:val="28"/>
        </w:rPr>
        <w:t>» (рисунок 5);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635000</wp:posOffset>
            </wp:positionH>
            <wp:positionV relativeFrom="line">
              <wp:posOffset>110489</wp:posOffset>
            </wp:positionV>
            <wp:extent cx="4210050" cy="11334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6" descr="Рисунок 1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>Рисунок</w:t>
      </w:r>
      <w:r w:rsidRPr="000D3764">
        <w:rPr>
          <w:rStyle w:val="a8"/>
          <w:rFonts w:ascii="Times New Roman" w:hAnsi="Times New Roman"/>
          <w:sz w:val="20"/>
          <w:szCs w:val="20"/>
        </w:rPr>
        <w:t xml:space="preserve"> 5 –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New</w:t>
      </w:r>
      <w:r w:rsidRPr="000D3764"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XYZ</w:t>
      </w:r>
      <w:r w:rsidRPr="000D3764"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tile</w:t>
      </w:r>
      <w:r w:rsidRPr="000D3764"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layer</w:t>
      </w:r>
    </w:p>
    <w:p w:rsidR="002610B0" w:rsidRPr="000D3764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A635AC">
      <w:pPr>
        <w:spacing w:after="0" w:line="276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1988820</wp:posOffset>
            </wp:positionH>
            <wp:positionV relativeFrom="line">
              <wp:posOffset>514350</wp:posOffset>
            </wp:positionV>
            <wp:extent cx="1381125" cy="3524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15" descr="Рисунок 1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8"/>
          <w:rFonts w:ascii="Times New Roman" w:hAnsi="Times New Roman"/>
          <w:sz w:val="28"/>
          <w:szCs w:val="28"/>
        </w:rPr>
        <w:t>8) Убеждаемся, что сервис подключен (рисунок 6);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br/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6 –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Tile</w:t>
      </w:r>
      <w:r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Server</w:t>
      </w:r>
      <w:r>
        <w:rPr>
          <w:rStyle w:val="a8"/>
          <w:rFonts w:ascii="Times New Roman" w:hAnsi="Times New Roman"/>
          <w:sz w:val="20"/>
          <w:szCs w:val="20"/>
        </w:rPr>
        <w:t xml:space="preserve"> (</w:t>
      </w:r>
      <w:r>
        <w:rPr>
          <w:rStyle w:val="a8"/>
          <w:rFonts w:ascii="Times New Roman" w:hAnsi="Times New Roman"/>
          <w:sz w:val="20"/>
          <w:szCs w:val="20"/>
          <w:lang w:val="en-US"/>
        </w:rPr>
        <w:t>XYZ</w:t>
      </w:r>
      <w:r>
        <w:rPr>
          <w:rStyle w:val="a8"/>
          <w:rFonts w:ascii="Times New Roman" w:hAnsi="Times New Roman"/>
          <w:sz w:val="20"/>
          <w:szCs w:val="20"/>
        </w:rPr>
        <w:t>)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9) Добавляем сервис в слои (рисунок 7).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464820</wp:posOffset>
            </wp:positionH>
            <wp:positionV relativeFrom="line">
              <wp:posOffset>138430</wp:posOffset>
            </wp:positionV>
            <wp:extent cx="4320540" cy="17424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14" descr="Рисунок 1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742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7 –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Layers</w:t>
      </w:r>
      <w:r>
        <w:rPr>
          <w:rStyle w:val="a8"/>
          <w:rFonts w:ascii="Times New Roman" w:hAnsi="Times New Roman"/>
          <w:sz w:val="20"/>
          <w:szCs w:val="2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Panel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Подключение картографического сервиса по протоколу WFS в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</w:rPr>
        <w:t>Qgis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</w:rPr>
        <w:t>:</w:t>
      </w:r>
    </w:p>
    <w:p w:rsidR="002610B0" w:rsidRDefault="00A63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 составе документов по заявлению, оформленном в личном кабинете/СМЭВ, </w:t>
      </w:r>
      <w:proofErr w:type="gramStart"/>
      <w:r>
        <w:rPr>
          <w:rStyle w:val="a8"/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Style w:val="a8"/>
          <w:rFonts w:ascii="Times New Roman" w:hAnsi="Times New Roman"/>
          <w:sz w:val="28"/>
          <w:szCs w:val="28"/>
        </w:rPr>
        <w:t xml:space="preserve"> ссылка на сервис WFS;</w:t>
      </w:r>
    </w:p>
    <w:p w:rsidR="002610B0" w:rsidRDefault="00A63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Копируем ссылку в буфер обмена;</w:t>
      </w:r>
    </w:p>
    <w:p w:rsidR="002610B0" w:rsidRDefault="00A63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Открываем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Qgis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;</w:t>
      </w:r>
    </w:p>
    <w:p w:rsidR="002610B0" w:rsidRDefault="00A63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Переходим во вкладку «Слой» - «Добавить слой WFS» (рисунок 8);</w:t>
      </w: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ind w:left="284" w:hanging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864560</wp:posOffset>
            </wp:positionH>
            <wp:positionV relativeFrom="line">
              <wp:posOffset>59276</wp:posOffset>
            </wp:positionV>
            <wp:extent cx="3606165" cy="29413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13" descr="Рисунок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941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pStyle w:val="a6"/>
        <w:spacing w:line="276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8 – Добавление слоя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WFS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610B0" w:rsidRDefault="00A63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Нажимаем «Создать» (рисунок 9);</w:t>
      </w:r>
    </w:p>
    <w:p w:rsidR="002610B0" w:rsidRDefault="002610B0">
      <w:pPr>
        <w:spacing w:after="0" w:line="276" w:lineRule="auto"/>
        <w:ind w:left="284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column">
              <wp:posOffset>866139</wp:posOffset>
            </wp:positionH>
            <wp:positionV relativeFrom="line">
              <wp:posOffset>25400</wp:posOffset>
            </wp:positionV>
            <wp:extent cx="3620771" cy="288099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Рисунок 12" descr="Рисунок 1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1" cy="288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9 – создание слоя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WFS</w:t>
      </w:r>
    </w:p>
    <w:p w:rsidR="002610B0" w:rsidRDefault="00A635AC">
      <w:pPr>
        <w:pStyle w:val="a6"/>
        <w:spacing w:line="276" w:lineRule="auto"/>
        <w:ind w:left="0"/>
        <w:jc w:val="both"/>
      </w:pPr>
      <w:r>
        <w:rPr>
          <w:rStyle w:val="a8"/>
          <w:rFonts w:ascii="Arial Unicode MS" w:hAnsi="Arial Unicode MS"/>
        </w:rPr>
        <w:br w:type="page"/>
      </w:r>
    </w:p>
    <w:p w:rsidR="002610B0" w:rsidRDefault="00E4607A">
      <w:pPr>
        <w:pStyle w:val="a6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A635AC">
        <w:rPr>
          <w:rStyle w:val="a8"/>
          <w:rFonts w:ascii="Times New Roman" w:hAnsi="Times New Roman"/>
          <w:sz w:val="28"/>
          <w:szCs w:val="28"/>
        </w:rPr>
        <w:t xml:space="preserve">В строчку «Адрес» добавляем ссылку с картографическим </w:t>
      </w:r>
      <w:proofErr w:type="spellStart"/>
      <w:r w:rsidR="00A635AC">
        <w:rPr>
          <w:rStyle w:val="a8"/>
          <w:rFonts w:ascii="Times New Roman" w:hAnsi="Times New Roman"/>
          <w:sz w:val="28"/>
          <w:szCs w:val="28"/>
        </w:rPr>
        <w:t>веб-сервисом</w:t>
      </w:r>
      <w:proofErr w:type="spellEnd"/>
      <w:r w:rsidR="00A635AC">
        <w:rPr>
          <w:rStyle w:val="a8"/>
          <w:rFonts w:ascii="Times New Roman" w:hAnsi="Times New Roman"/>
          <w:sz w:val="28"/>
          <w:szCs w:val="28"/>
        </w:rPr>
        <w:t>, полученную по результатам рассмотрения за</w:t>
      </w:r>
      <w:r w:rsidR="00FB5E23">
        <w:rPr>
          <w:rStyle w:val="a8"/>
          <w:rFonts w:ascii="Times New Roman" w:hAnsi="Times New Roman"/>
          <w:sz w:val="28"/>
          <w:szCs w:val="28"/>
        </w:rPr>
        <w:t>я</w:t>
      </w:r>
      <w:r w:rsidR="00A635AC">
        <w:rPr>
          <w:rStyle w:val="a8"/>
          <w:rFonts w:ascii="Times New Roman" w:hAnsi="Times New Roman"/>
          <w:sz w:val="28"/>
          <w:szCs w:val="28"/>
        </w:rPr>
        <w:t>вления.</w:t>
      </w:r>
      <w:proofErr w:type="gramEnd"/>
      <w:r w:rsidR="00A635AC">
        <w:rPr>
          <w:rStyle w:val="a8"/>
          <w:rFonts w:ascii="Times New Roman" w:hAnsi="Times New Roman"/>
          <w:sz w:val="28"/>
          <w:szCs w:val="28"/>
        </w:rPr>
        <w:t xml:space="preserve"> Вносим </w:t>
      </w:r>
      <w:proofErr w:type="gramStart"/>
      <w:r w:rsidR="00A635AC">
        <w:rPr>
          <w:rStyle w:val="a8"/>
          <w:rFonts w:ascii="Times New Roman" w:hAnsi="Times New Roman"/>
          <w:sz w:val="28"/>
          <w:szCs w:val="28"/>
        </w:rPr>
        <w:t>полученны</w:t>
      </w:r>
      <w:r w:rsidR="00DE376A">
        <w:rPr>
          <w:rStyle w:val="a8"/>
          <w:rFonts w:ascii="Times New Roman" w:hAnsi="Times New Roman"/>
          <w:sz w:val="28"/>
          <w:szCs w:val="28"/>
        </w:rPr>
        <w:t>е</w:t>
      </w:r>
      <w:proofErr w:type="gramEnd"/>
      <w:r w:rsidR="00A635AC">
        <w:rPr>
          <w:rStyle w:val="a8"/>
          <w:rFonts w:ascii="Times New Roman" w:hAnsi="Times New Roman"/>
          <w:sz w:val="28"/>
          <w:szCs w:val="28"/>
        </w:rPr>
        <w:t xml:space="preserve"> логин и пароль (рисунок 10);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77696" behindDoc="0" locked="0" layoutInCell="1" allowOverlap="1">
            <wp:simplePos x="0" y="0"/>
            <wp:positionH relativeFrom="column">
              <wp:posOffset>1230573</wp:posOffset>
            </wp:positionH>
            <wp:positionV relativeFrom="line">
              <wp:posOffset>140970</wp:posOffset>
            </wp:positionV>
            <wp:extent cx="3337560" cy="263334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Рисунок 23" descr="Рисунок 2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633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10 – параметры соединения слоя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WFS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A635A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Нажимаем «Подключиться». Появляется список слоев. Выбираем нужный слой и нажимаем «Добавить» (рисунок 11);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column">
              <wp:posOffset>1227455</wp:posOffset>
            </wp:positionH>
            <wp:positionV relativeFrom="line">
              <wp:posOffset>161252</wp:posOffset>
            </wp:positionV>
            <wp:extent cx="3525521" cy="2743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Рисунок 10" descr="Рисунок 1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1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11 – добавление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Title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Данные добавлены (рисунок 12).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57150" distB="57150" distL="57150" distR="57150" simplePos="0" relativeHeight="251669504" behindDoc="0" locked="0" layoutInCell="1" allowOverlap="1">
            <wp:simplePos x="0" y="0"/>
            <wp:positionH relativeFrom="column">
              <wp:posOffset>106045</wp:posOffset>
            </wp:positionH>
            <wp:positionV relativeFrom="line">
              <wp:posOffset>155916</wp:posOffset>
            </wp:positionV>
            <wp:extent cx="5920740" cy="2166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 descr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Рисунок 9" descr="Рисунок 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2166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12 – слой </w:t>
      </w:r>
      <w:r>
        <w:rPr>
          <w:rStyle w:val="a8"/>
          <w:rFonts w:ascii="Times New Roman" w:hAnsi="Times New Roman"/>
          <w:sz w:val="20"/>
          <w:szCs w:val="20"/>
          <w:lang w:val="en-US"/>
        </w:rPr>
        <w:t xml:space="preserve">WFS </w:t>
      </w:r>
      <w:r>
        <w:rPr>
          <w:rStyle w:val="a8"/>
          <w:rFonts w:ascii="Times New Roman" w:hAnsi="Times New Roman"/>
          <w:sz w:val="20"/>
          <w:szCs w:val="20"/>
        </w:rPr>
        <w:t>добавлен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Подключение картографического сервиса по протоколу WFS в </w:t>
      </w:r>
      <w:proofErr w:type="spellStart"/>
      <w:r>
        <w:rPr>
          <w:rStyle w:val="a8"/>
          <w:rFonts w:ascii="Times New Roman" w:hAnsi="Times New Roman"/>
          <w:b/>
          <w:bCs/>
          <w:sz w:val="28"/>
          <w:szCs w:val="28"/>
        </w:rPr>
        <w:t>Mapinfo</w:t>
      </w:r>
      <w:proofErr w:type="spellEnd"/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Style w:val="a8"/>
          <w:rFonts w:ascii="Times New Roman" w:hAnsi="Times New Roman"/>
          <w:b/>
          <w:bCs/>
          <w:sz w:val="28"/>
          <w:szCs w:val="28"/>
        </w:rPr>
        <w:t>(на примере версии 12.5)</w:t>
      </w: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Открываем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Mapinfo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;</w:t>
      </w: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Выбираем «Файл» - «Открыть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web</w:t>
      </w:r>
      <w:r>
        <w:rPr>
          <w:rStyle w:val="a8"/>
          <w:rFonts w:ascii="Times New Roman" w:hAnsi="Times New Roman"/>
          <w:sz w:val="28"/>
          <w:szCs w:val="28"/>
        </w:rPr>
        <w:t xml:space="preserve">-службу» - «Открыть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WFS</w:t>
      </w:r>
      <w:r>
        <w:rPr>
          <w:rStyle w:val="a8"/>
          <w:rFonts w:ascii="Times New Roman" w:hAnsi="Times New Roman"/>
          <w:sz w:val="28"/>
          <w:szCs w:val="28"/>
        </w:rPr>
        <w:t>» (рисунок 13);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column">
              <wp:posOffset>1335311</wp:posOffset>
            </wp:positionH>
            <wp:positionV relativeFrom="line">
              <wp:posOffset>14604</wp:posOffset>
            </wp:positionV>
            <wp:extent cx="3164840" cy="2590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59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13 – открыть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WFS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Нажимаем кнопку </w:t>
      </w:r>
      <w:r w:rsidR="00DE376A">
        <w:rPr>
          <w:rStyle w:val="a8"/>
          <w:rFonts w:ascii="Times New Roman" w:hAnsi="Times New Roman"/>
          <w:sz w:val="28"/>
          <w:szCs w:val="28"/>
        </w:rPr>
        <w:t>«С</w:t>
      </w:r>
      <w:r>
        <w:rPr>
          <w:rStyle w:val="a8"/>
          <w:rFonts w:ascii="Times New Roman" w:hAnsi="Times New Roman"/>
          <w:sz w:val="28"/>
          <w:szCs w:val="28"/>
        </w:rPr>
        <w:t>ерверы</w:t>
      </w:r>
      <w:r w:rsidR="00DE376A">
        <w:rPr>
          <w:rStyle w:val="a8"/>
          <w:rFonts w:ascii="Times New Roman" w:hAnsi="Times New Roman"/>
          <w:sz w:val="28"/>
          <w:szCs w:val="28"/>
        </w:rPr>
        <w:t>»</w:t>
      </w:r>
      <w:r>
        <w:rPr>
          <w:rStyle w:val="a8"/>
          <w:rFonts w:ascii="Times New Roman" w:hAnsi="Times New Roman"/>
          <w:sz w:val="28"/>
          <w:szCs w:val="28"/>
        </w:rPr>
        <w:t xml:space="preserve"> (рисунок 14);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column">
              <wp:posOffset>1366519</wp:posOffset>
            </wp:positionH>
            <wp:positionV relativeFrom="line">
              <wp:posOffset>0</wp:posOffset>
            </wp:positionV>
            <wp:extent cx="3165475" cy="2773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 descr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Рисунок 7" descr="Рисунок 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2773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E4607A" w:rsidRPr="00E4607A" w:rsidRDefault="00E4607A" w:rsidP="00E4607A">
      <w:pPr>
        <w:spacing w:after="0" w:line="276" w:lineRule="auto"/>
        <w:jc w:val="center"/>
        <w:rPr>
          <w:rStyle w:val="a8"/>
          <w:rFonts w:ascii="Times New Roman" w:hAnsi="Times New Roman"/>
          <w:sz w:val="16"/>
          <w:szCs w:val="16"/>
        </w:rPr>
      </w:pPr>
    </w:p>
    <w:p w:rsidR="002610B0" w:rsidRDefault="00A635AC" w:rsidP="00E4607A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>Рисунок 14 – Серверы</w:t>
      </w:r>
    </w:p>
    <w:p w:rsidR="002610B0" w:rsidRPr="00E4607A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16"/>
          <w:szCs w:val="16"/>
        </w:rPr>
      </w:pP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Выбираем «Добавить» (рисунок 15);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76672" behindDoc="0" locked="0" layoutInCell="1" allowOverlap="1">
            <wp:simplePos x="0" y="0"/>
            <wp:positionH relativeFrom="column">
              <wp:posOffset>1369060</wp:posOffset>
            </wp:positionH>
            <wp:positionV relativeFrom="line">
              <wp:posOffset>137435</wp:posOffset>
            </wp:positionV>
            <wp:extent cx="3437890" cy="21539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 descr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Рисунок 6" descr="Рисунок 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15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>Рисунок 15 – Добавление сервера</w:t>
      </w:r>
    </w:p>
    <w:p w:rsidR="002610B0" w:rsidRPr="00E4607A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16"/>
          <w:szCs w:val="16"/>
        </w:rPr>
      </w:pP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Добавляем ссылку на сервис, полученный по результатам рассмотрения заявления. Нажимаем «Проверка </w:t>
      </w:r>
      <w:r>
        <w:rPr>
          <w:rStyle w:val="a8"/>
          <w:rFonts w:ascii="Times New Roman" w:hAnsi="Times New Roman"/>
          <w:sz w:val="28"/>
          <w:szCs w:val="28"/>
          <w:lang w:val="en-US"/>
        </w:rPr>
        <w:t>URL</w:t>
      </w:r>
      <w:r>
        <w:rPr>
          <w:rStyle w:val="a8"/>
          <w:rFonts w:ascii="Times New Roman" w:hAnsi="Times New Roman"/>
          <w:sz w:val="28"/>
          <w:szCs w:val="28"/>
        </w:rPr>
        <w:t>» (рисунок 16);</w:t>
      </w:r>
    </w:p>
    <w:p w:rsidR="002610B0" w:rsidRDefault="00A635AC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72576" behindDoc="0" locked="0" layoutInCell="1" allowOverlap="1">
            <wp:simplePos x="0" y="0"/>
            <wp:positionH relativeFrom="column">
              <wp:posOffset>1546225</wp:posOffset>
            </wp:positionH>
            <wp:positionV relativeFrom="line">
              <wp:posOffset>88900</wp:posOffset>
            </wp:positionV>
            <wp:extent cx="3108961" cy="2381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 descr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1" cy="238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E4607A" w:rsidRPr="00E4607A" w:rsidRDefault="00E4607A">
      <w:pPr>
        <w:spacing w:after="0" w:line="276" w:lineRule="auto"/>
        <w:jc w:val="center"/>
        <w:rPr>
          <w:rStyle w:val="a8"/>
          <w:rFonts w:ascii="Times New Roman" w:hAnsi="Times New Roman"/>
          <w:sz w:val="16"/>
          <w:szCs w:val="16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Рисунок 16 – Проверка </w:t>
      </w:r>
      <w:r>
        <w:rPr>
          <w:rStyle w:val="a8"/>
          <w:rFonts w:ascii="Times New Roman" w:hAnsi="Times New Roman"/>
          <w:sz w:val="20"/>
          <w:szCs w:val="20"/>
          <w:lang w:val="en-US"/>
        </w:rPr>
        <w:t>URL</w:t>
      </w: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Появится окно, в которое необходимо прописать логин и пароль, представленный в заявлении;</w:t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Далее нажимаем «Получить» (рисунок 17);</w:t>
      </w:r>
    </w:p>
    <w:p w:rsidR="002610B0" w:rsidRDefault="00A635AC">
      <w:pPr>
        <w:pStyle w:val="a6"/>
        <w:spacing w:line="276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57150" distB="57150" distL="57150" distR="57150" simplePos="0" relativeHeight="251673600" behindDoc="0" locked="0" layoutInCell="1" allowOverlap="1">
            <wp:simplePos x="0" y="0"/>
            <wp:positionH relativeFrom="column">
              <wp:posOffset>1005840</wp:posOffset>
            </wp:positionH>
            <wp:positionV relativeFrom="line">
              <wp:posOffset>67310</wp:posOffset>
            </wp:positionV>
            <wp:extent cx="3931285" cy="17983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Рисунок 3" descr="Рисунок 3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179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Рисунок 17 – получение данных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Выбираем «Предпочтительная версия 1.0»;</w:t>
      </w:r>
    </w:p>
    <w:p w:rsidR="002610B0" w:rsidRDefault="002610B0">
      <w:pPr>
        <w:spacing w:after="0" w:line="276" w:lineRule="auto"/>
        <w:ind w:left="72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Появляется список слоев. Выбираем нужный слой, указываем место сохранения «</w:t>
      </w:r>
      <w:r>
        <w:rPr>
          <w:rStyle w:val="a8"/>
          <w:rFonts w:ascii="Times New Roman" w:hAnsi="Times New Roman"/>
          <w:sz w:val="28"/>
          <w:szCs w:val="28"/>
          <w:lang w:val="en-US"/>
        </w:rPr>
        <w:t>Tab</w:t>
      </w:r>
      <w:r>
        <w:rPr>
          <w:rStyle w:val="a8"/>
          <w:rFonts w:ascii="Times New Roman" w:hAnsi="Times New Roman"/>
          <w:sz w:val="28"/>
          <w:szCs w:val="28"/>
        </w:rPr>
        <w:t>» файла (рисунок 18);</w:t>
      </w:r>
    </w:p>
    <w:p w:rsidR="002610B0" w:rsidRDefault="00A635AC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74624" behindDoc="0" locked="0" layoutInCell="1" allowOverlap="1">
            <wp:simplePos x="0" y="0"/>
            <wp:positionH relativeFrom="column">
              <wp:posOffset>1112520</wp:posOffset>
            </wp:positionH>
            <wp:positionV relativeFrom="line">
              <wp:posOffset>55880</wp:posOffset>
            </wp:positionV>
            <wp:extent cx="3625215" cy="31286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3128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line="276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Рисунок 18 – выбор необходимого слоя</w:t>
      </w: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0"/>
          <w:szCs w:val="20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:rsidR="002610B0" w:rsidRDefault="00A635AC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Сервис добавлен (рисунок 19).</w:t>
      </w:r>
    </w:p>
    <w:p w:rsidR="002610B0" w:rsidRDefault="00A635AC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57150" distB="57150" distL="57150" distR="57150" simplePos="0" relativeHeight="251675648" behindDoc="0" locked="0" layoutInCell="1" allowOverlap="1">
            <wp:simplePos x="0" y="0"/>
            <wp:positionH relativeFrom="column">
              <wp:posOffset>1168191</wp:posOffset>
            </wp:positionH>
            <wp:positionV relativeFrom="line">
              <wp:posOffset>11799</wp:posOffset>
            </wp:positionV>
            <wp:extent cx="3844290" cy="28860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2886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2610B0">
      <w:pPr>
        <w:spacing w:after="0" w:line="276" w:lineRule="auto"/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610B0" w:rsidRDefault="00A635AC">
      <w:pPr>
        <w:spacing w:after="0" w:line="276" w:lineRule="auto"/>
        <w:jc w:val="center"/>
      </w:pPr>
      <w:r>
        <w:rPr>
          <w:rStyle w:val="a8"/>
          <w:rFonts w:ascii="Times New Roman" w:hAnsi="Times New Roman"/>
          <w:sz w:val="20"/>
          <w:szCs w:val="20"/>
        </w:rPr>
        <w:t>Рисунок 19 – отображение добавленного сервиса</w:t>
      </w:r>
    </w:p>
    <w:sectPr w:rsidR="002610B0" w:rsidSect="006A2DA8">
      <w:headerReference w:type="default" r:id="rId30"/>
      <w:pgSz w:w="11900" w:h="16840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E0" w:rsidRDefault="00030EE0">
      <w:pPr>
        <w:spacing w:after="0" w:line="240" w:lineRule="auto"/>
      </w:pPr>
      <w:r>
        <w:separator/>
      </w:r>
    </w:p>
  </w:endnote>
  <w:endnote w:type="continuationSeparator" w:id="0">
    <w:p w:rsidR="00030EE0" w:rsidRDefault="000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E0" w:rsidRDefault="00030EE0">
      <w:pPr>
        <w:spacing w:after="0" w:line="240" w:lineRule="auto"/>
      </w:pPr>
      <w:r>
        <w:separator/>
      </w:r>
    </w:p>
  </w:footnote>
  <w:footnote w:type="continuationSeparator" w:id="0">
    <w:p w:rsidR="00030EE0" w:rsidRDefault="0003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0" w:rsidRDefault="00A635AC">
    <w:pPr>
      <w:pStyle w:val="a4"/>
      <w:tabs>
        <w:tab w:val="clear" w:pos="9355"/>
        <w:tab w:val="right" w:pos="9329"/>
      </w:tabs>
      <w:jc w:val="center"/>
    </w:pPr>
    <w:r>
      <w:t>-</w:t>
    </w:r>
    <w:r w:rsidR="006A2DA8">
      <w:fldChar w:fldCharType="begin"/>
    </w:r>
    <w:r>
      <w:instrText xml:space="preserve"> PAGE </w:instrText>
    </w:r>
    <w:r w:rsidR="006A2DA8">
      <w:fldChar w:fldCharType="separate"/>
    </w:r>
    <w:r w:rsidR="00146EEB">
      <w:rPr>
        <w:noProof/>
      </w:rPr>
      <w:t>12</w:t>
    </w:r>
    <w:r w:rsidR="006A2DA8">
      <w:fldChar w:fldCharType="end"/>
    </w: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8D6"/>
    <w:multiLevelType w:val="hybridMultilevel"/>
    <w:tmpl w:val="FC1EB23E"/>
    <w:numStyleLink w:val="5"/>
  </w:abstractNum>
  <w:abstractNum w:abstractNumId="1">
    <w:nsid w:val="015C55FC"/>
    <w:multiLevelType w:val="hybridMultilevel"/>
    <w:tmpl w:val="FC1EB23E"/>
    <w:styleLink w:val="5"/>
    <w:lvl w:ilvl="0" w:tplc="997A78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CA8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A7C8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5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50BE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8B3F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4E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204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EDC1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8253EB"/>
    <w:multiLevelType w:val="hybridMultilevel"/>
    <w:tmpl w:val="E11ECB28"/>
    <w:numStyleLink w:val="2"/>
  </w:abstractNum>
  <w:abstractNum w:abstractNumId="3">
    <w:nsid w:val="1FF646BE"/>
    <w:multiLevelType w:val="hybridMultilevel"/>
    <w:tmpl w:val="4D80C14E"/>
    <w:numStyleLink w:val="1"/>
  </w:abstractNum>
  <w:abstractNum w:abstractNumId="4">
    <w:nsid w:val="253A5191"/>
    <w:multiLevelType w:val="hybridMultilevel"/>
    <w:tmpl w:val="D45E9968"/>
    <w:numStyleLink w:val="4"/>
  </w:abstractNum>
  <w:abstractNum w:abstractNumId="5">
    <w:nsid w:val="269677CA"/>
    <w:multiLevelType w:val="hybridMultilevel"/>
    <w:tmpl w:val="9956ECC8"/>
    <w:styleLink w:val="3"/>
    <w:lvl w:ilvl="0" w:tplc="6870F73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CD5D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04C7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6EA2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E3194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E09E4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8811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4FFF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2BE48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C868A1"/>
    <w:multiLevelType w:val="hybridMultilevel"/>
    <w:tmpl w:val="4D80C14E"/>
    <w:styleLink w:val="1"/>
    <w:lvl w:ilvl="0" w:tplc="599AC71C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29DF0">
      <w:start w:val="1"/>
      <w:numFmt w:val="lowerLetter"/>
      <w:lvlText w:val="%2."/>
      <w:lvlJc w:val="left"/>
      <w:pPr>
        <w:ind w:left="17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A6C1A">
      <w:start w:val="1"/>
      <w:numFmt w:val="lowerRoman"/>
      <w:lvlText w:val="%3."/>
      <w:lvlJc w:val="left"/>
      <w:pPr>
        <w:ind w:left="250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AC872">
      <w:start w:val="1"/>
      <w:numFmt w:val="decimal"/>
      <w:lvlText w:val="%4."/>
      <w:lvlJc w:val="left"/>
      <w:pPr>
        <w:ind w:left="32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C5BD6">
      <w:start w:val="1"/>
      <w:numFmt w:val="lowerLetter"/>
      <w:lvlText w:val="%5."/>
      <w:lvlJc w:val="left"/>
      <w:pPr>
        <w:ind w:left="39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2077E">
      <w:start w:val="1"/>
      <w:numFmt w:val="lowerRoman"/>
      <w:lvlText w:val="%6."/>
      <w:lvlJc w:val="left"/>
      <w:pPr>
        <w:ind w:left="466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8FD6E">
      <w:start w:val="1"/>
      <w:numFmt w:val="decimal"/>
      <w:lvlText w:val="%7."/>
      <w:lvlJc w:val="left"/>
      <w:pPr>
        <w:ind w:left="53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C0868">
      <w:start w:val="1"/>
      <w:numFmt w:val="lowerLetter"/>
      <w:lvlText w:val="%8."/>
      <w:lvlJc w:val="left"/>
      <w:pPr>
        <w:ind w:left="61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A36C8">
      <w:start w:val="1"/>
      <w:numFmt w:val="lowerRoman"/>
      <w:lvlText w:val="%9."/>
      <w:lvlJc w:val="left"/>
      <w:pPr>
        <w:ind w:left="6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1B1769"/>
    <w:multiLevelType w:val="hybridMultilevel"/>
    <w:tmpl w:val="4686DBE0"/>
    <w:numStyleLink w:val="6"/>
  </w:abstractNum>
  <w:abstractNum w:abstractNumId="8">
    <w:nsid w:val="4F1948F4"/>
    <w:multiLevelType w:val="hybridMultilevel"/>
    <w:tmpl w:val="E01E96F8"/>
    <w:styleLink w:val="7"/>
    <w:lvl w:ilvl="0" w:tplc="4888EA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27A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237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ED2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EBF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6055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A4C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C7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EE31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DF6BFF"/>
    <w:multiLevelType w:val="hybridMultilevel"/>
    <w:tmpl w:val="D45E9968"/>
    <w:styleLink w:val="4"/>
    <w:lvl w:ilvl="0" w:tplc="D732541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4AE4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06C0A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0B47A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6D2B0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88662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65F3A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61B5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00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C246DB1"/>
    <w:multiLevelType w:val="hybridMultilevel"/>
    <w:tmpl w:val="9956ECC8"/>
    <w:numStyleLink w:val="3"/>
  </w:abstractNum>
  <w:abstractNum w:abstractNumId="11">
    <w:nsid w:val="707F7B23"/>
    <w:multiLevelType w:val="hybridMultilevel"/>
    <w:tmpl w:val="E01E96F8"/>
    <w:numStyleLink w:val="7"/>
  </w:abstractNum>
  <w:abstractNum w:abstractNumId="12">
    <w:nsid w:val="7878767A"/>
    <w:multiLevelType w:val="hybridMultilevel"/>
    <w:tmpl w:val="E11ECB28"/>
    <w:styleLink w:val="2"/>
    <w:lvl w:ilvl="0" w:tplc="46CC6AA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8B9A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A6C80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6A588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C700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4972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62B4A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8E38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A6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932222"/>
    <w:multiLevelType w:val="hybridMultilevel"/>
    <w:tmpl w:val="4686DBE0"/>
    <w:styleLink w:val="6"/>
    <w:lvl w:ilvl="0" w:tplc="AEF8E8C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CA47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CEFEE">
      <w:start w:val="1"/>
      <w:numFmt w:val="lowerRoman"/>
      <w:lvlText w:val="%3."/>
      <w:lvlJc w:val="left"/>
      <w:pPr>
        <w:ind w:left="17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2B53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4169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CEB106">
      <w:start w:val="1"/>
      <w:numFmt w:val="lowerRoman"/>
      <w:lvlText w:val="%6."/>
      <w:lvlJc w:val="left"/>
      <w:pPr>
        <w:ind w:left="38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CE1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0116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22A86">
      <w:start w:val="1"/>
      <w:numFmt w:val="lowerRoman"/>
      <w:lvlText w:val="%9."/>
      <w:lvlJc w:val="left"/>
      <w:pPr>
        <w:ind w:left="60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3"/>
    <w:lvlOverride w:ilvl="0">
      <w:startOverride w:val="2"/>
      <w:lvl w:ilvl="0" w:tplc="92B6F332">
        <w:start w:val="2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7ECD9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9264F4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82F670">
        <w:start w:val="1"/>
        <w:numFmt w:val="decimal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05B06">
        <w:start w:val="1"/>
        <w:numFmt w:val="lowerLetter"/>
        <w:lvlText w:val="%5."/>
        <w:lvlJc w:val="left"/>
        <w:pPr>
          <w:tabs>
            <w:tab w:val="num" w:pos="3589"/>
          </w:tabs>
          <w:ind w:left="288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C97EE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A2B2D8">
        <w:start w:val="1"/>
        <w:numFmt w:val="decimal"/>
        <w:lvlText w:val="%7."/>
        <w:lvlJc w:val="left"/>
        <w:pPr>
          <w:tabs>
            <w:tab w:val="num" w:pos="5029"/>
          </w:tabs>
          <w:ind w:left="432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E88144">
        <w:start w:val="1"/>
        <w:numFmt w:val="lowerLetter"/>
        <w:lvlText w:val="%8."/>
        <w:lvlJc w:val="left"/>
        <w:pPr>
          <w:tabs>
            <w:tab w:val="num" w:pos="5749"/>
          </w:tabs>
          <w:ind w:left="5040" w:firstLine="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80FF5A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3"/>
    <w:lvlOverride w:ilvl="0">
      <w:startOverride w:val="3"/>
      <w:lvl w:ilvl="0" w:tplc="92B6F332">
        <w:start w:val="3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7ECD9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9264F4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82F670">
        <w:start w:val="1"/>
        <w:numFmt w:val="decimal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05B06">
        <w:start w:val="1"/>
        <w:numFmt w:val="lowerLetter"/>
        <w:lvlText w:val="%5."/>
        <w:lvlJc w:val="left"/>
        <w:pPr>
          <w:tabs>
            <w:tab w:val="num" w:pos="3589"/>
          </w:tabs>
          <w:ind w:left="288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C97EE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A2B2D8">
        <w:start w:val="1"/>
        <w:numFmt w:val="decimal"/>
        <w:lvlText w:val="%7."/>
        <w:lvlJc w:val="left"/>
        <w:pPr>
          <w:tabs>
            <w:tab w:val="num" w:pos="5029"/>
          </w:tabs>
          <w:ind w:left="4320" w:firstLine="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E88144">
        <w:start w:val="1"/>
        <w:numFmt w:val="lowerLetter"/>
        <w:lvlText w:val="%8."/>
        <w:lvlJc w:val="left"/>
        <w:pPr>
          <w:tabs>
            <w:tab w:val="num" w:pos="5749"/>
          </w:tabs>
          <w:ind w:left="5040" w:firstLine="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80FF5A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7"/>
    <w:lvlOverride w:ilvl="0">
      <w:lvl w:ilvl="0" w:tplc="D4B0E640">
        <w:start w:val="1"/>
        <w:numFmt w:val="decimal"/>
        <w:suff w:val="nothing"/>
        <w:lvlText w:val="%1)"/>
        <w:lvlJc w:val="left"/>
        <w:pPr>
          <w:ind w:left="643" w:hanging="28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CF963CDE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9CC47942">
        <w:start w:val="1"/>
        <w:numFmt w:val="lowerRoman"/>
        <w:suff w:val="nothing"/>
        <w:lvlText w:val="%3."/>
        <w:lvlJc w:val="left"/>
        <w:pPr>
          <w:ind w:left="209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4A3405D8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A8681C52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BCA46DB2">
        <w:start w:val="1"/>
        <w:numFmt w:val="lowerRoman"/>
        <w:suff w:val="nothing"/>
        <w:lvlText w:val="%6."/>
        <w:lvlJc w:val="left"/>
        <w:pPr>
          <w:ind w:left="425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A9B41266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16D0AF74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66EE52AC">
        <w:start w:val="1"/>
        <w:numFmt w:val="lowerRoman"/>
        <w:suff w:val="nothing"/>
        <w:lvlText w:val="%9."/>
        <w:lvlJc w:val="left"/>
        <w:pPr>
          <w:ind w:left="641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16">
    <w:abstractNumId w:val="7"/>
    <w:lvlOverride w:ilvl="0">
      <w:lvl w:ilvl="0" w:tplc="D4B0E64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963CD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C47942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3405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681C5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A46DB2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B412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D0AF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EE52AC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0B0"/>
    <w:rsid w:val="00030EE0"/>
    <w:rsid w:val="000D3764"/>
    <w:rsid w:val="00146EEB"/>
    <w:rsid w:val="002610B0"/>
    <w:rsid w:val="002E1A9C"/>
    <w:rsid w:val="0045307A"/>
    <w:rsid w:val="004632AB"/>
    <w:rsid w:val="00471AC3"/>
    <w:rsid w:val="004A656E"/>
    <w:rsid w:val="006A2DA8"/>
    <w:rsid w:val="006B665B"/>
    <w:rsid w:val="006F3DA8"/>
    <w:rsid w:val="00760EFB"/>
    <w:rsid w:val="00896E0D"/>
    <w:rsid w:val="00A21549"/>
    <w:rsid w:val="00A606FA"/>
    <w:rsid w:val="00A635AC"/>
    <w:rsid w:val="00A6793E"/>
    <w:rsid w:val="00AD6A9C"/>
    <w:rsid w:val="00DB25A1"/>
    <w:rsid w:val="00DE376A"/>
    <w:rsid w:val="00E4607A"/>
    <w:rsid w:val="00FB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DA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DA8"/>
    <w:rPr>
      <w:u w:val="single"/>
    </w:rPr>
  </w:style>
  <w:style w:type="table" w:customStyle="1" w:styleId="TableNormal">
    <w:name w:val="Table Normal"/>
    <w:rsid w:val="006A2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A2DA8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6A2DA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List Paragraph"/>
    <w:rsid w:val="006A2DA8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6A2DA8"/>
    <w:pPr>
      <w:numPr>
        <w:numId w:val="1"/>
      </w:numPr>
    </w:pPr>
  </w:style>
  <w:style w:type="numbering" w:customStyle="1" w:styleId="2">
    <w:name w:val="Импортированный стиль 2"/>
    <w:rsid w:val="006A2DA8"/>
    <w:pPr>
      <w:numPr>
        <w:numId w:val="3"/>
      </w:numPr>
    </w:pPr>
  </w:style>
  <w:style w:type="numbering" w:customStyle="1" w:styleId="3">
    <w:name w:val="Импортированный стиль 3"/>
    <w:rsid w:val="006A2DA8"/>
    <w:pPr>
      <w:numPr>
        <w:numId w:val="6"/>
      </w:numPr>
    </w:pPr>
  </w:style>
  <w:style w:type="numbering" w:customStyle="1" w:styleId="4">
    <w:name w:val="Импортированный стиль 4"/>
    <w:rsid w:val="006A2DA8"/>
    <w:pPr>
      <w:numPr>
        <w:numId w:val="8"/>
      </w:numPr>
    </w:pPr>
  </w:style>
  <w:style w:type="character" w:customStyle="1" w:styleId="a7">
    <w:name w:val="Ссылка"/>
    <w:rsid w:val="006A2DA8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sid w:val="006A2DA8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customStyle="1" w:styleId="a8">
    <w:name w:val="Нет"/>
    <w:rsid w:val="006A2DA8"/>
  </w:style>
  <w:style w:type="character" w:customStyle="1" w:styleId="Hyperlink1">
    <w:name w:val="Hyperlink.1"/>
    <w:basedOn w:val="a8"/>
    <w:rsid w:val="006A2DA8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numbering" w:customStyle="1" w:styleId="5">
    <w:name w:val="Импортированный стиль 5"/>
    <w:rsid w:val="006A2DA8"/>
    <w:pPr>
      <w:numPr>
        <w:numId w:val="11"/>
      </w:numPr>
    </w:pPr>
  </w:style>
  <w:style w:type="numbering" w:customStyle="1" w:styleId="6">
    <w:name w:val="Импортированный стиль 6"/>
    <w:rsid w:val="006A2DA8"/>
    <w:pPr>
      <w:numPr>
        <w:numId w:val="13"/>
      </w:numPr>
    </w:pPr>
  </w:style>
  <w:style w:type="numbering" w:customStyle="1" w:styleId="7">
    <w:name w:val="Импортированный стиль 7"/>
    <w:rsid w:val="006A2DA8"/>
    <w:pPr>
      <w:numPr>
        <w:numId w:val="17"/>
      </w:numPr>
    </w:pPr>
  </w:style>
  <w:style w:type="paragraph" w:styleId="a9">
    <w:name w:val="Balloon Text"/>
    <w:basedOn w:val="a"/>
    <w:link w:val="aa"/>
    <w:uiPriority w:val="99"/>
    <w:semiHidden/>
    <w:unhideWhenUsed/>
    <w:rsid w:val="00A6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93E"/>
    <w:rPr>
      <w:rFonts w:ascii="Segoe UI" w:hAnsi="Segoe UI" w:cs="Segoe UI"/>
      <w:color w:val="000000"/>
      <w:sz w:val="18"/>
      <w:szCs w:val="18"/>
      <w:u w:color="000000"/>
    </w:rPr>
  </w:style>
  <w:style w:type="character" w:styleId="ab">
    <w:name w:val="annotation reference"/>
    <w:basedOn w:val="a0"/>
    <w:uiPriority w:val="99"/>
    <w:semiHidden/>
    <w:unhideWhenUsed/>
    <w:rsid w:val="00DE37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7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76A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7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76A"/>
    <w:rPr>
      <w:rFonts w:ascii="Calibri" w:hAnsi="Calibri" w:cs="Arial Unicode MS"/>
      <w:b/>
      <w:bCs/>
      <w:color w:val="000000"/>
      <w:u w:color="000000"/>
    </w:rPr>
  </w:style>
  <w:style w:type="paragraph" w:styleId="af0">
    <w:name w:val="footer"/>
    <w:basedOn w:val="a"/>
    <w:link w:val="af1"/>
    <w:uiPriority w:val="99"/>
    <w:unhideWhenUsed/>
    <w:rsid w:val="0046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32A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w.eeko.cgkipd.ru/api/resource/112233/wf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ogc.org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tiles.eeko.prod/wmts/29/ba4........07b/%25201.0.0/WMTSCapabilities.xml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les.eeko.cgkipd.ru/tile/24/%257Bz%257D/%257Bx%257D/%257By%257D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Мария Сергеевна</dc:creator>
  <cp:lastModifiedBy>User</cp:lastModifiedBy>
  <cp:revision>2</cp:revision>
  <dcterms:created xsi:type="dcterms:W3CDTF">2022-06-23T05:24:00Z</dcterms:created>
  <dcterms:modified xsi:type="dcterms:W3CDTF">2022-06-23T05:24:00Z</dcterms:modified>
</cp:coreProperties>
</file>